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3" w:type="dxa"/>
        <w:tblInd w:w="4264" w:type="dxa"/>
        <w:tblCellMar>
          <w:top w:w="0" w:type="dxa"/>
          <w:left w:w="115" w:type="dxa"/>
          <w:bottom w:w="0" w:type="dxa"/>
          <w:right w:w="115" w:type="dxa"/>
        </w:tblCellMar>
        <w:tblLook w:val="04A0" w:firstRow="1" w:lastRow="0" w:firstColumn="1" w:lastColumn="0" w:noHBand="0" w:noVBand="1"/>
      </w:tblPr>
      <w:tblGrid>
        <w:gridCol w:w="1980"/>
        <w:gridCol w:w="71"/>
        <w:gridCol w:w="2217"/>
        <w:gridCol w:w="15"/>
      </w:tblGrid>
      <w:tr w:rsidR="00634E39" w14:paraId="0821AB54" w14:textId="77777777">
        <w:trPr>
          <w:gridBefore w:val="2"/>
          <w:gridAfter w:val="1"/>
          <w:wBefore w:w="4249" w:type="dxa"/>
          <w:wAfter w:w="48" w:type="dxa"/>
          <w:trHeight w:val="809"/>
        </w:trPr>
        <w:tc>
          <w:tcPr>
            <w:tcW w:w="4283" w:type="dxa"/>
            <w:tcBorders>
              <w:top w:val="nil"/>
              <w:left w:val="nil"/>
              <w:bottom w:val="nil"/>
              <w:right w:val="nil"/>
            </w:tcBorders>
            <w:shd w:val="clear" w:color="auto" w:fill="D9D9D9"/>
            <w:vAlign w:val="center"/>
          </w:tcPr>
          <w:p w14:paraId="6EEFFF4A" w14:textId="77777777" w:rsidR="00634E39" w:rsidRDefault="00FA0F66">
            <w:pPr>
              <w:spacing w:after="0"/>
              <w:ind w:left="3"/>
              <w:jc w:val="center"/>
            </w:pPr>
            <w:r>
              <w:rPr>
                <w:rFonts w:ascii="DejaVu Sans" w:eastAsia="DejaVu Sans" w:hAnsi="DejaVu Sans" w:cs="DejaVu Sans"/>
                <w:b/>
                <w:sz w:val="18"/>
              </w:rPr>
              <w:t>CERTIFICADO</w:t>
            </w:r>
            <w:r>
              <w:rPr>
                <w:rFonts w:ascii="DejaVu Sans" w:eastAsia="DejaVu Sans" w:hAnsi="DejaVu Sans" w:cs="DejaVu Sans"/>
                <w:sz w:val="18"/>
              </w:rPr>
              <w:t xml:space="preserve"> </w:t>
            </w:r>
          </w:p>
        </w:tc>
      </w:tr>
      <w:tr w:rsidR="00634E39" w14:paraId="132C29DF" w14:textId="77777777">
        <w:tblPrEx>
          <w:tblCellMar>
            <w:left w:w="106" w:type="dxa"/>
          </w:tblCellMar>
        </w:tblPrEx>
        <w:trPr>
          <w:trHeight w:val="436"/>
        </w:trPr>
        <w:tc>
          <w:tcPr>
            <w:tcW w:w="3968" w:type="dxa"/>
            <w:tcBorders>
              <w:top w:val="single" w:sz="12" w:space="0" w:color="CCCCCC"/>
              <w:left w:val="single" w:sz="12" w:space="0" w:color="CCCCCC"/>
              <w:bottom w:val="single" w:sz="2" w:space="0" w:color="CCCCCC"/>
              <w:right w:val="single" w:sz="2" w:space="0" w:color="CCCCCC"/>
            </w:tcBorders>
            <w:vAlign w:val="center"/>
          </w:tcPr>
          <w:p w14:paraId="0EB6694B" w14:textId="77777777" w:rsidR="00634E39" w:rsidRDefault="00FA0F66">
            <w:pPr>
              <w:spacing w:after="0"/>
            </w:pPr>
            <w:r>
              <w:rPr>
                <w:rFonts w:ascii="DejaVu Sans" w:eastAsia="DejaVu Sans" w:hAnsi="DejaVu Sans" w:cs="DejaVu Sans"/>
                <w:b/>
                <w:sz w:val="18"/>
              </w:rPr>
              <w:t>Expediente núm.    1388 /2022</w:t>
            </w:r>
          </w:p>
        </w:tc>
        <w:tc>
          <w:tcPr>
            <w:tcW w:w="4612" w:type="dxa"/>
            <w:gridSpan w:val="3"/>
            <w:tcBorders>
              <w:top w:val="single" w:sz="12" w:space="0" w:color="CCCCCC"/>
              <w:left w:val="single" w:sz="2" w:space="0" w:color="CCCCCC"/>
              <w:bottom w:val="single" w:sz="2" w:space="0" w:color="CCCCCC"/>
              <w:right w:val="single" w:sz="12" w:space="0" w:color="CCCCCC"/>
            </w:tcBorders>
            <w:vAlign w:val="center"/>
          </w:tcPr>
          <w:p w14:paraId="06F2296F" w14:textId="77777777" w:rsidR="00634E39" w:rsidRDefault="00FA0F66">
            <w:pPr>
              <w:spacing w:after="0"/>
              <w:ind w:left="2"/>
            </w:pPr>
            <w:r>
              <w:rPr>
                <w:rFonts w:ascii="DejaVu Sans" w:eastAsia="DejaVu Sans" w:hAnsi="DejaVu Sans" w:cs="DejaVu Sans"/>
                <w:b/>
                <w:sz w:val="18"/>
              </w:rPr>
              <w:t>Órgano Colegiado:</w:t>
            </w:r>
            <w:r>
              <w:rPr>
                <w:rFonts w:ascii="DejaVu Sans" w:eastAsia="DejaVu Sans" w:hAnsi="DejaVu Sans" w:cs="DejaVu Sans"/>
                <w:sz w:val="18"/>
              </w:rPr>
              <w:t xml:space="preserve"> </w:t>
            </w:r>
          </w:p>
        </w:tc>
      </w:tr>
      <w:tr w:rsidR="00634E39" w14:paraId="6D92BBC7" w14:textId="77777777">
        <w:tblPrEx>
          <w:tblCellMar>
            <w:left w:w="106" w:type="dxa"/>
          </w:tblCellMar>
        </w:tblPrEx>
        <w:trPr>
          <w:trHeight w:val="436"/>
        </w:trPr>
        <w:tc>
          <w:tcPr>
            <w:tcW w:w="3968" w:type="dxa"/>
            <w:tcBorders>
              <w:top w:val="single" w:sz="2" w:space="0" w:color="CCCCCC"/>
              <w:left w:val="single" w:sz="12" w:space="0" w:color="CCCCCC"/>
              <w:bottom w:val="single" w:sz="12" w:space="0" w:color="CCCCCC"/>
              <w:right w:val="single" w:sz="2" w:space="0" w:color="CCCCCC"/>
            </w:tcBorders>
            <w:vAlign w:val="center"/>
          </w:tcPr>
          <w:p w14:paraId="204EF960" w14:textId="77777777" w:rsidR="00634E39" w:rsidRDefault="00FA0F66">
            <w:pPr>
              <w:spacing w:after="0"/>
            </w:pPr>
            <w:r>
              <w:rPr>
                <w:rFonts w:ascii="DejaVu Sans" w:eastAsia="DejaVu Sans" w:hAnsi="DejaVu Sans" w:cs="DejaVu Sans"/>
                <w:b/>
                <w:sz w:val="18"/>
              </w:rPr>
              <w:t>EXPTE. GESTIONA: 1182/2022</w:t>
            </w:r>
          </w:p>
        </w:tc>
        <w:tc>
          <w:tcPr>
            <w:tcW w:w="4612" w:type="dxa"/>
            <w:gridSpan w:val="3"/>
            <w:tcBorders>
              <w:top w:val="single" w:sz="2" w:space="0" w:color="CCCCCC"/>
              <w:left w:val="single" w:sz="2" w:space="0" w:color="CCCCCC"/>
              <w:bottom w:val="single" w:sz="12" w:space="0" w:color="CCCCCC"/>
              <w:right w:val="single" w:sz="12" w:space="0" w:color="CCCCCC"/>
            </w:tcBorders>
            <w:vAlign w:val="center"/>
          </w:tcPr>
          <w:p w14:paraId="10C1958B" w14:textId="77777777" w:rsidR="00634E39" w:rsidRDefault="00FA0F66">
            <w:pPr>
              <w:spacing w:after="0"/>
              <w:ind w:left="2"/>
            </w:pPr>
            <w:r>
              <w:rPr>
                <w:rFonts w:ascii="DejaVu Sans" w:eastAsia="DejaVu Sans" w:hAnsi="DejaVu Sans" w:cs="DejaVu Sans"/>
                <w:b/>
                <w:sz w:val="18"/>
              </w:rPr>
              <w:t>Pleno Corporativo (núm. 2) ORDINARIA</w:t>
            </w:r>
          </w:p>
        </w:tc>
      </w:tr>
    </w:tbl>
    <w:p w14:paraId="313AA9AB" w14:textId="77777777" w:rsidR="00634E39" w:rsidRDefault="00FA0F66">
      <w:pPr>
        <w:spacing w:after="0"/>
        <w:ind w:left="1"/>
        <w:jc w:val="center"/>
      </w:pPr>
      <w:r>
        <w:rPr>
          <w:rFonts w:ascii="DejaVu Sans" w:eastAsia="DejaVu Sans" w:hAnsi="DejaVu Sans" w:cs="DejaVu Sans"/>
          <w:sz w:val="18"/>
        </w:rPr>
        <w:t xml:space="preserve"> </w:t>
      </w:r>
    </w:p>
    <w:p w14:paraId="328BE003" w14:textId="77777777" w:rsidR="00634E39" w:rsidRDefault="00FA0F66">
      <w:pPr>
        <w:spacing w:after="0"/>
      </w:pPr>
      <w:r>
        <w:rPr>
          <w:rFonts w:ascii="DejaVu Sans" w:eastAsia="DejaVu Sans" w:hAnsi="DejaVu Sans" w:cs="DejaVu Sans"/>
          <w:b/>
          <w:sz w:val="18"/>
        </w:rPr>
        <w:t xml:space="preserve">DON MANUEL JESÚS AFONSO HERNÁNDEZ, EN CALIDAD DE SECRETARIO GENERAL </w:t>
      </w:r>
    </w:p>
    <w:p w14:paraId="3B1D933B" w14:textId="77777777" w:rsidR="00634E39" w:rsidRDefault="00FA0F66">
      <w:pPr>
        <w:spacing w:after="203" w:line="250" w:lineRule="auto"/>
        <w:ind w:left="-5" w:right="-1" w:hanging="10"/>
        <w:jc w:val="both"/>
      </w:pPr>
      <w:r>
        <w:rPr>
          <w:rFonts w:ascii="DejaVu Sans" w:eastAsia="DejaVu Sans" w:hAnsi="DejaVu Sans" w:cs="DejaVu Sans"/>
          <w:b/>
          <w:sz w:val="18"/>
        </w:rPr>
        <w:t>ACCIDENTAL DEL ILTRE. AYUNTAMIENTO DE LA VILLA DE INGENIO,</w:t>
      </w:r>
      <w:r>
        <w:rPr>
          <w:rFonts w:ascii="DejaVu Sans" w:eastAsia="DejaVu Sans" w:hAnsi="DejaVu Sans" w:cs="DejaVu Sans"/>
          <w:sz w:val="18"/>
        </w:rPr>
        <w:t xml:space="preserve"> </w:t>
      </w:r>
      <w:r>
        <w:rPr>
          <w:rFonts w:ascii="DejaVu Sans" w:eastAsia="DejaVu Sans" w:hAnsi="DejaVu Sans" w:cs="DejaVu Sans"/>
          <w:b/>
          <w:sz w:val="18"/>
        </w:rPr>
        <w:t>(</w:t>
      </w:r>
      <w:r>
        <w:rPr>
          <w:rFonts w:ascii="DejaVu Sans" w:eastAsia="DejaVu Sans" w:hAnsi="DejaVu Sans" w:cs="DejaVu Sans"/>
          <w:sz w:val="18"/>
        </w:rPr>
        <w:t>Resolución de 19/08/2014, nº 576 de la Dirección General de la Función Pública</w:t>
      </w:r>
      <w:r>
        <w:rPr>
          <w:rFonts w:ascii="DejaVu Sans" w:eastAsia="DejaVu Sans" w:hAnsi="DejaVu Sans" w:cs="DejaVu Sans"/>
          <w:b/>
          <w:sz w:val="18"/>
        </w:rPr>
        <w:t>).</w:t>
      </w:r>
    </w:p>
    <w:p w14:paraId="78A6047D" w14:textId="77777777" w:rsidR="00634E39" w:rsidRDefault="00FA0F66">
      <w:pPr>
        <w:spacing w:after="99" w:line="265" w:lineRule="auto"/>
        <w:ind w:left="10" w:right="1" w:hanging="10"/>
        <w:jc w:val="center"/>
      </w:pPr>
      <w:r>
        <w:rPr>
          <w:rFonts w:ascii="DejaVu Sans" w:eastAsia="DejaVu Sans" w:hAnsi="DejaVu Sans" w:cs="DejaVu Sans"/>
          <w:b/>
          <w:sz w:val="18"/>
        </w:rPr>
        <w:t>CERTIFICO:</w:t>
      </w:r>
      <w:r>
        <w:rPr>
          <w:rFonts w:ascii="DejaVu Sans" w:eastAsia="DejaVu Sans" w:hAnsi="DejaVu Sans" w:cs="DejaVu Sans"/>
          <w:sz w:val="18"/>
        </w:rPr>
        <w:t xml:space="preserve"> </w:t>
      </w:r>
    </w:p>
    <w:p w14:paraId="1407293F" w14:textId="77777777" w:rsidR="00634E39" w:rsidRDefault="00FA0F66">
      <w:pPr>
        <w:spacing w:after="113" w:line="250" w:lineRule="auto"/>
        <w:ind w:left="-5" w:right="-1" w:hanging="10"/>
        <w:jc w:val="both"/>
      </w:pPr>
      <w:r>
        <w:rPr>
          <w:rFonts w:ascii="DejaVu Sans" w:eastAsia="DejaVu Sans" w:hAnsi="DejaVu Sans" w:cs="DejaVu Sans"/>
          <w:sz w:val="18"/>
        </w:rPr>
        <w:t xml:space="preserve">Que en la sesión ordinaria celebrada por el </w:t>
      </w:r>
      <w:r>
        <w:rPr>
          <w:rFonts w:ascii="DejaVu Sans" w:eastAsia="DejaVu Sans" w:hAnsi="DejaVu Sans" w:cs="DejaVu Sans"/>
          <w:b/>
          <w:sz w:val="18"/>
        </w:rPr>
        <w:t>Pleno Corporativo</w:t>
      </w:r>
      <w:r>
        <w:rPr>
          <w:rFonts w:ascii="DejaVu Sans" w:eastAsia="DejaVu Sans" w:hAnsi="DejaVu Sans" w:cs="DejaVu Sans"/>
          <w:sz w:val="18"/>
        </w:rPr>
        <w:t xml:space="preserve"> de este Ayuntamiento </w:t>
      </w:r>
      <w:r>
        <w:rPr>
          <w:rFonts w:ascii="DejaVu Sans" w:eastAsia="DejaVu Sans" w:hAnsi="DejaVu Sans" w:cs="DejaVu Sans"/>
          <w:b/>
          <w:sz w:val="18"/>
        </w:rPr>
        <w:t>el día 28 de febrero de 2022,</w:t>
      </w:r>
      <w:r>
        <w:rPr>
          <w:rFonts w:ascii="DejaVu Sans" w:eastAsia="DejaVu Sans" w:hAnsi="DejaVu Sans" w:cs="DejaVu Sans"/>
          <w:sz w:val="18"/>
        </w:rPr>
        <w:t xml:space="preserve"> se adoptó, entre otros, el siguiente acuerdo: </w:t>
      </w:r>
    </w:p>
    <w:p w14:paraId="71C616D9" w14:textId="77777777" w:rsidR="00634E39" w:rsidRDefault="00FA0F66">
      <w:pPr>
        <w:spacing w:after="104"/>
        <w:ind w:left="-5" w:hanging="10"/>
      </w:pPr>
      <w:r>
        <w:rPr>
          <w:rFonts w:ascii="DejaVu Sans" w:eastAsia="DejaVu Sans" w:hAnsi="DejaVu Sans" w:cs="DejaVu Sans"/>
          <w:b/>
          <w:sz w:val="18"/>
          <w:u w:val="single" w:color="000000"/>
        </w:rPr>
        <w:t>3º.- COMISIÓN INFORMATIVA DE ECONOMÍA Y ADMINISTRACIÓN.</w:t>
      </w:r>
    </w:p>
    <w:p w14:paraId="57676F2D" w14:textId="77777777" w:rsidR="00634E39" w:rsidRDefault="00FA0F66">
      <w:pPr>
        <w:spacing w:after="214"/>
        <w:ind w:left="-5" w:hanging="10"/>
      </w:pPr>
      <w:r>
        <w:rPr>
          <w:rFonts w:ascii="DejaVu Sans" w:eastAsia="DejaVu Sans" w:hAnsi="DejaVu Sans" w:cs="DejaVu Sans"/>
          <w:b/>
          <w:sz w:val="18"/>
          <w:u w:val="single" w:color="000000"/>
        </w:rPr>
        <w:t>3.1.- ECONOMÍA, HACIENDA Y CONTRATACIÓN</w:t>
      </w:r>
      <w:r>
        <w:rPr>
          <w:rFonts w:ascii="DejaVu Sans" w:eastAsia="DejaVu Sans" w:hAnsi="DejaVu Sans" w:cs="DejaVu Sans"/>
          <w:b/>
          <w:sz w:val="18"/>
        </w:rPr>
        <w:t>.</w:t>
      </w:r>
    </w:p>
    <w:p w14:paraId="3621045D" w14:textId="77777777" w:rsidR="00634E39" w:rsidRDefault="00FA0F66">
      <w:pPr>
        <w:spacing w:after="190" w:line="241" w:lineRule="auto"/>
        <w:ind w:left="-5" w:right="-11" w:hanging="10"/>
        <w:jc w:val="both"/>
      </w:pPr>
      <w:r>
        <w:rPr>
          <w:rFonts w:ascii="DejaVu Sans" w:eastAsia="DejaVu Sans" w:hAnsi="DejaVu Sans" w:cs="DejaVu Sans"/>
          <w:b/>
          <w:sz w:val="20"/>
        </w:rPr>
        <w:t>3.1.3 – PROPUESTA DE MODIFICACIÓN DEL PLAN ESTRATÉGICO DE SUBVENCIONES PARA EL EJERCICIO 2022 (EXPTE. 1182/2022).</w:t>
      </w:r>
    </w:p>
    <w:p w14:paraId="2BB136A8" w14:textId="77777777" w:rsidR="00634E39" w:rsidRDefault="00FA0F66">
      <w:pPr>
        <w:spacing w:after="203" w:line="250" w:lineRule="auto"/>
        <w:ind w:left="-5" w:right="-1" w:hanging="10"/>
        <w:jc w:val="both"/>
      </w:pPr>
      <w:r>
        <w:rPr>
          <w:rFonts w:ascii="DejaVu Sans" w:eastAsia="DejaVu Sans" w:hAnsi="DejaVu Sans" w:cs="DejaVu Sans"/>
          <w:sz w:val="18"/>
        </w:rPr>
        <w:t xml:space="preserve">El </w:t>
      </w:r>
      <w:r>
        <w:rPr>
          <w:rFonts w:ascii="DejaVu Sans" w:eastAsia="DejaVu Sans" w:hAnsi="DejaVu Sans" w:cs="DejaVu Sans"/>
          <w:b/>
          <w:sz w:val="18"/>
        </w:rPr>
        <w:t>Concejal Delegado de Economía y Hacienda</w:t>
      </w:r>
      <w:r>
        <w:rPr>
          <w:rFonts w:ascii="DejaVu Sans" w:eastAsia="DejaVu Sans" w:hAnsi="DejaVu Sans" w:cs="DejaVu Sans"/>
          <w:sz w:val="18"/>
        </w:rPr>
        <w:t xml:space="preserve">, </w:t>
      </w:r>
      <w:r>
        <w:rPr>
          <w:rFonts w:ascii="DejaVu Sans" w:eastAsia="DejaVu Sans" w:hAnsi="DejaVu Sans" w:cs="DejaVu Sans"/>
          <w:b/>
          <w:sz w:val="18"/>
        </w:rPr>
        <w:t>don Víctor Manuel Vega Sánchez</w:t>
      </w:r>
      <w:r>
        <w:rPr>
          <w:rFonts w:ascii="DejaVu Sans" w:eastAsia="DejaVu Sans" w:hAnsi="DejaVu Sans" w:cs="DejaVu Sans"/>
          <w:sz w:val="18"/>
        </w:rPr>
        <w:t>, da lectura a la propuesta que se ha emitido el día 16 de febrero de 2022, y dictaminada en la Comisión Informativa de Economía y Administración, en sesión del día 22 de febrero del presente año, cuyo tenor literal se transcribe íntegramente a continuación:</w:t>
      </w:r>
    </w:p>
    <w:p w14:paraId="488AA0D3" w14:textId="77777777" w:rsidR="00634E39" w:rsidRDefault="00FA0F66">
      <w:pPr>
        <w:spacing w:after="202" w:line="250" w:lineRule="auto"/>
        <w:ind w:left="279" w:right="279" w:hanging="10"/>
        <w:jc w:val="both"/>
      </w:pPr>
      <w:r>
        <w:rPr>
          <w:noProof/>
        </w:rPr>
        <mc:AlternateContent>
          <mc:Choice Requires="wpg">
            <w:drawing>
              <wp:anchor distT="0" distB="0" distL="114300" distR="114300" simplePos="0" relativeHeight="251658240" behindDoc="0" locked="0" layoutInCell="1" allowOverlap="1" wp14:anchorId="27771854" wp14:editId="1EED0909">
                <wp:simplePos x="0" y="0"/>
                <wp:positionH relativeFrom="page">
                  <wp:posOffset>1080770</wp:posOffset>
                </wp:positionH>
                <wp:positionV relativeFrom="page">
                  <wp:posOffset>450225</wp:posOffset>
                </wp:positionV>
                <wp:extent cx="5399405" cy="972185"/>
                <wp:effectExtent l="0" t="0" r="0" b="0"/>
                <wp:wrapTopAndBottom/>
                <wp:docPr id="1751" name="Group 1751"/>
                <wp:cNvGraphicFramePr/>
                <a:graphic xmlns:a="http://schemas.openxmlformats.org/drawingml/2006/main">
                  <a:graphicData uri="http://schemas.microsoft.com/office/word/2010/wordprocessingGroup">
                    <wpg:wgp>
                      <wpg:cNvGrpSpPr/>
                      <wpg:grpSpPr>
                        <a:xfrm>
                          <a:off x="0" y="0"/>
                          <a:ext cx="5399405" cy="972185"/>
                          <a:chOff x="0" y="0"/>
                          <a:chExt cx="5399405" cy="972185"/>
                        </a:xfrm>
                      </wpg:grpSpPr>
                      <pic:pic xmlns:pic="http://schemas.openxmlformats.org/drawingml/2006/picture">
                        <pic:nvPicPr>
                          <pic:cNvPr id="8" name="Picture 8"/>
                          <pic:cNvPicPr/>
                        </pic:nvPicPr>
                        <pic:blipFill>
                          <a:blip r:embed="rId4"/>
                          <a:stretch>
                            <a:fillRect/>
                          </a:stretch>
                        </pic:blipFill>
                        <pic:spPr>
                          <a:xfrm>
                            <a:off x="0" y="0"/>
                            <a:ext cx="927100" cy="697230"/>
                          </a:xfrm>
                          <a:prstGeom prst="rect">
                            <a:avLst/>
                          </a:prstGeom>
                        </pic:spPr>
                      </pic:pic>
                      <wps:wsp>
                        <wps:cNvPr id="9" name="Rectangle 9"/>
                        <wps:cNvSpPr/>
                        <wps:spPr>
                          <a:xfrm>
                            <a:off x="929640" y="581251"/>
                            <a:ext cx="53544" cy="196622"/>
                          </a:xfrm>
                          <a:prstGeom prst="rect">
                            <a:avLst/>
                          </a:prstGeom>
                          <a:ln>
                            <a:noFill/>
                          </a:ln>
                        </wps:spPr>
                        <wps:txbx>
                          <w:txbxContent>
                            <w:p w14:paraId="7E0D93AD" w14:textId="77777777" w:rsidR="00634E39" w:rsidRDefault="00FA0F66">
                              <w:r>
                                <w:rPr>
                                  <w:rFonts w:ascii="DejaVu Sans" w:eastAsia="DejaVu Sans" w:hAnsi="DejaVu Sans" w:cs="DejaVu Sans"/>
                                  <w:sz w:val="20"/>
                                </w:rPr>
                                <w:t xml:space="preserve"> </w:t>
                              </w:r>
                            </w:p>
                          </w:txbxContent>
                        </wps:txbx>
                        <wps:bodyPr horzOverflow="overflow" vert="horz" lIns="0" tIns="0" rIns="0" bIns="0" rtlCol="0">
                          <a:noAutofit/>
                        </wps:bodyPr>
                      </wps:wsp>
                      <wps:wsp>
                        <wps:cNvPr id="10" name="Rectangle 10"/>
                        <wps:cNvSpPr/>
                        <wps:spPr>
                          <a:xfrm>
                            <a:off x="885190" y="699197"/>
                            <a:ext cx="4826199" cy="275271"/>
                          </a:xfrm>
                          <a:prstGeom prst="rect">
                            <a:avLst/>
                          </a:prstGeom>
                          <a:ln>
                            <a:noFill/>
                          </a:ln>
                        </wps:spPr>
                        <wps:txbx>
                          <w:txbxContent>
                            <w:p w14:paraId="6715308F" w14:textId="77777777" w:rsidR="00634E39" w:rsidRDefault="00FA0F66">
                              <w:r>
                                <w:rPr>
                                  <w:rFonts w:ascii="DejaVu Sans" w:eastAsia="DejaVu Sans" w:hAnsi="DejaVu Sans" w:cs="DejaVu Sans"/>
                                  <w:b/>
                                  <w:sz w:val="28"/>
                                </w:rPr>
                                <w:t>Ayuntamiento de La Villa de Ingenio</w:t>
                              </w:r>
                            </w:p>
                          </w:txbxContent>
                        </wps:txbx>
                        <wps:bodyPr horzOverflow="overflow" vert="horz" lIns="0" tIns="0" rIns="0" bIns="0" rtlCol="0">
                          <a:noAutofit/>
                        </wps:bodyPr>
                      </wps:wsp>
                      <wps:wsp>
                        <wps:cNvPr id="113" name="Shape 113"/>
                        <wps:cNvSpPr/>
                        <wps:spPr>
                          <a:xfrm>
                            <a:off x="0" y="972185"/>
                            <a:ext cx="5399405" cy="0"/>
                          </a:xfrm>
                          <a:custGeom>
                            <a:avLst/>
                            <a:gdLst/>
                            <a:ahLst/>
                            <a:cxnLst/>
                            <a:rect l="0" t="0" r="0" b="0"/>
                            <a:pathLst>
                              <a:path w="5399405">
                                <a:moveTo>
                                  <a:pt x="539940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1" style="width:425.15pt;height:76.55pt;position:absolute;mso-position-horizontal-relative:page;mso-position-horizontal:absolute;margin-left:85.1pt;mso-position-vertical-relative:page;margin-top:35.4508pt;" coordsize="53994,9721">
                <v:shape id="Picture 8" style="position:absolute;width:9271;height:6972;left:0;top:0;" filled="f">
                  <v:imagedata r:id="rId5"/>
                </v:shape>
                <v:rect id="Rectangle 9" style="position:absolute;width:535;height:1966;left:9296;top:5812;" filled="f" stroked="f">
                  <v:textbox inset="0,0,0,0">
                    <w:txbxContent>
                      <w:p>
                        <w:pPr>
                          <w:spacing w:before="0" w:after="160" w:line="259" w:lineRule="auto"/>
                        </w:pPr>
                        <w:r>
                          <w:rPr>
                            <w:rFonts w:cs="DejaVu Sans" w:hAnsi="DejaVu Sans" w:eastAsia="DejaVu Sans" w:ascii="DejaVu Sans"/>
                            <w:sz w:val="20"/>
                          </w:rPr>
                          <w:t xml:space="preserve"> </w:t>
                        </w:r>
                      </w:p>
                    </w:txbxContent>
                  </v:textbox>
                </v:rect>
                <v:rect id="Rectangle 10" style="position:absolute;width:48261;height:2752;left:8851;top:6991;" filled="f" stroked="f">
                  <v:textbox inset="0,0,0,0">
                    <w:txbxContent>
                      <w:p>
                        <w:pPr>
                          <w:spacing w:before="0" w:after="160" w:line="259" w:lineRule="auto"/>
                        </w:pPr>
                        <w:r>
                          <w:rPr>
                            <w:rFonts w:cs="DejaVu Sans" w:hAnsi="DejaVu Sans" w:eastAsia="DejaVu Sans" w:ascii="DejaVu Sans"/>
                            <w:b w:val="1"/>
                            <w:sz w:val="28"/>
                          </w:rPr>
                          <w:t xml:space="preserve">Ayuntamiento de La Villa de Ingenio</w:t>
                        </w:r>
                      </w:p>
                    </w:txbxContent>
                  </v:textbox>
                </v:rect>
                <v:shape id="Shape 113" style="position:absolute;width:53994;height:0;left:0;top:9721;" coordsize="5399405,0" path="m5399405,0l0,0">
                  <v:stroke weight="0.5pt" endcap="flat"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068072CB" wp14:editId="08C08508">
                <wp:simplePos x="0" y="0"/>
                <wp:positionH relativeFrom="page">
                  <wp:posOffset>6861810</wp:posOffset>
                </wp:positionH>
                <wp:positionV relativeFrom="page">
                  <wp:posOffset>6374000</wp:posOffset>
                </wp:positionV>
                <wp:extent cx="524148" cy="3937000"/>
                <wp:effectExtent l="0" t="0" r="0" b="0"/>
                <wp:wrapSquare wrapText="bothSides"/>
                <wp:docPr id="1753" name="Group 1753"/>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116" name="Picture 116"/>
                          <pic:cNvPicPr/>
                        </pic:nvPicPr>
                        <pic:blipFill>
                          <a:blip r:embed="rId6"/>
                          <a:stretch>
                            <a:fillRect/>
                          </a:stretch>
                        </pic:blipFill>
                        <pic:spPr>
                          <a:xfrm rot="-5399999">
                            <a:off x="-1790700" y="1790699"/>
                            <a:ext cx="3937000" cy="355601"/>
                          </a:xfrm>
                          <a:prstGeom prst="rect">
                            <a:avLst/>
                          </a:prstGeom>
                        </pic:spPr>
                      </pic:pic>
                      <wps:wsp>
                        <wps:cNvPr id="117" name="Rectangle 117"/>
                        <wps:cNvSpPr/>
                        <wps:spPr>
                          <a:xfrm rot="-5399999">
                            <a:off x="-1852798" y="1608160"/>
                            <a:ext cx="4544457" cy="113224"/>
                          </a:xfrm>
                          <a:prstGeom prst="rect">
                            <a:avLst/>
                          </a:prstGeom>
                          <a:ln>
                            <a:noFill/>
                          </a:ln>
                        </wps:spPr>
                        <wps:txbx>
                          <w:txbxContent>
                            <w:p w14:paraId="73F052E2" w14:textId="77777777" w:rsidR="00634E39" w:rsidRDefault="00FA0F66">
                              <w:r>
                                <w:rPr>
                                  <w:rFonts w:ascii="Arial" w:eastAsia="Arial" w:hAnsi="Arial" w:cs="Arial"/>
                                  <w:sz w:val="12"/>
                                </w:rPr>
                                <w:t xml:space="preserve">Cód. Validación: 5LGGLYL333WYY9WA269NTDJM3 | Verificación: https://ingenio.sedelectronica.es/ </w:t>
                              </w:r>
                            </w:p>
                          </w:txbxContent>
                        </wps:txbx>
                        <wps:bodyPr horzOverflow="overflow" vert="horz" lIns="0" tIns="0" rIns="0" bIns="0" rtlCol="0">
                          <a:noAutofit/>
                        </wps:bodyPr>
                      </wps:wsp>
                      <wps:wsp>
                        <wps:cNvPr id="118" name="Rectangle 118"/>
                        <wps:cNvSpPr/>
                        <wps:spPr>
                          <a:xfrm rot="-5399999">
                            <a:off x="-1623057" y="1761700"/>
                            <a:ext cx="4237377" cy="113224"/>
                          </a:xfrm>
                          <a:prstGeom prst="rect">
                            <a:avLst/>
                          </a:prstGeom>
                          <a:ln>
                            <a:noFill/>
                          </a:ln>
                        </wps:spPr>
                        <wps:txbx>
                          <w:txbxContent>
                            <w:p w14:paraId="12E02391" w14:textId="77777777" w:rsidR="00634E39" w:rsidRDefault="00FA0F66">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1753" style="width:41.2715pt;height:310pt;position:absolute;mso-position-horizontal-relative:page;mso-position-horizontal:absolute;margin-left:540.3pt;mso-position-vertical-relative:page;margin-top:501.89pt;" coordsize="5241,39370">
                <v:shape id="Picture 116" style="position:absolute;width:39370;height:3556;left:-17907;top:17906;rotation:-89;" filled="f">
                  <v:imagedata r:id="rId7"/>
                </v:shape>
                <v:rect id="Rectangle 117" style="position:absolute;width:45444;height:1132;left:-18527;top:1608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5LGGLYL333WYY9WA269NTDJM3 | Verificación: https://ingenio.sedelectronica.es/ </w:t>
                        </w:r>
                      </w:p>
                    </w:txbxContent>
                  </v:textbox>
                </v:rect>
                <v:rect id="Rectangle 118" style="position:absolute;width:42373;height:1132;left:-16230;top:1761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5CBC289F" wp14:editId="396F35C0">
                <wp:simplePos x="0" y="0"/>
                <wp:positionH relativeFrom="page">
                  <wp:posOffset>254000</wp:posOffset>
                </wp:positionH>
                <wp:positionV relativeFrom="page">
                  <wp:posOffset>1396997</wp:posOffset>
                </wp:positionV>
                <wp:extent cx="368300" cy="5921502"/>
                <wp:effectExtent l="0" t="0" r="0" b="0"/>
                <wp:wrapSquare wrapText="bothSides"/>
                <wp:docPr id="1754" name="Group 1754"/>
                <wp:cNvGraphicFramePr/>
                <a:graphic xmlns:a="http://schemas.openxmlformats.org/drawingml/2006/main">
                  <a:graphicData uri="http://schemas.microsoft.com/office/word/2010/wordprocessingGroup">
                    <wpg:wgp>
                      <wpg:cNvGrpSpPr/>
                      <wpg:grpSpPr>
                        <a:xfrm>
                          <a:off x="0" y="0"/>
                          <a:ext cx="368300" cy="5921502"/>
                          <a:chOff x="0" y="0"/>
                          <a:chExt cx="368300" cy="5921502"/>
                        </a:xfrm>
                      </wpg:grpSpPr>
                      <wps:wsp>
                        <wps:cNvPr id="119" name="Shape 119"/>
                        <wps:cNvSpPr/>
                        <wps:spPr>
                          <a:xfrm>
                            <a:off x="0" y="0"/>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0" name="Shape 120"/>
                        <wps:cNvSpPr/>
                        <wps:spPr>
                          <a:xfrm>
                            <a:off x="0" y="2992501"/>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4" style="width:29pt;height:466.26pt;position:absolute;mso-position-horizontal-relative:page;mso-position-horizontal:absolute;margin-left:20pt;mso-position-vertical-relative:page;margin-top:110pt;" coordsize="3683,59215">
                <v:shape id="Shape 119" style="position:absolute;width:3683;height:29290;left:0;top:0;" coordsize="368300,2929001" path="m0,2929001l368300,2929001l368300,0l0,0x">
                  <v:stroke weight="0.5pt" endcap="flat" joinstyle="miter" miterlimit="10" on="true" color="#808080"/>
                  <v:fill on="false" color="#000000" opacity="0"/>
                </v:shape>
                <v:shape id="Shape 120" style="position:absolute;width:3683;height:29290;left:0;top:29925;" coordsize="368300,2929001" path="m0,2929001l368300,2929001l368300,0l0,0x">
                  <v:stroke weight="0.5pt" endcap="flat" joinstyle="miter" miterlimit="10" on="true" color="#808080"/>
                  <v:fill on="false" color="#000000" opacity="0"/>
                </v:shape>
                <w10:wrap type="square"/>
              </v:group>
            </w:pict>
          </mc:Fallback>
        </mc:AlternateContent>
      </w:r>
      <w:r>
        <w:rPr>
          <w:rFonts w:ascii="DejaVu Sans" w:eastAsia="DejaVu Sans" w:hAnsi="DejaVu Sans" w:cs="DejaVu Sans"/>
          <w:b/>
          <w:i/>
          <w:sz w:val="14"/>
        </w:rPr>
        <w:t>“</w:t>
      </w:r>
      <w:r>
        <w:rPr>
          <w:rFonts w:ascii="DejaVu Sans" w:eastAsia="DejaVu Sans" w:hAnsi="DejaVu Sans" w:cs="DejaVu Sans"/>
          <w:i/>
          <w:sz w:val="18"/>
        </w:rPr>
        <w:t>Vista la propuesta de la Concejalía de Desarrollo Etnográfico y Patrimonio Cultural para la concesión de una subvención a la Asociación Cultural Coros y Danzas de Ingenio, por importe de 20.000,00 euros, destinados a la financiación del proyecto denominado “Inventario del Patrimonio Cultural Inmaterial de la Villa de Ingenio”, el cual será financiado con parte de la subvención prevista para el desarrollo del Festival Internacional de Folklore.</w:t>
      </w:r>
    </w:p>
    <w:p w14:paraId="094897AC" w14:textId="77777777" w:rsidR="00634E39" w:rsidRDefault="00FA0F66">
      <w:pPr>
        <w:spacing w:after="202" w:line="250" w:lineRule="auto"/>
        <w:ind w:left="279" w:right="279" w:hanging="10"/>
        <w:jc w:val="both"/>
      </w:pPr>
      <w:r>
        <w:rPr>
          <w:rFonts w:ascii="DejaVu Sans" w:eastAsia="DejaVu Sans" w:hAnsi="DejaVu Sans" w:cs="DejaVu Sans"/>
          <w:i/>
          <w:sz w:val="18"/>
        </w:rPr>
        <w:t>Visto que por acuerdo del Pleno Corporativo en sesión celebrada el día 20 de diciembre de 2021, se aprobó el Plan Estratégico de Subvenciones, en el que se incluían las subvenciones anteriores, con las cantidades inicialmente previstas.</w:t>
      </w:r>
    </w:p>
    <w:p w14:paraId="40EF4CDE" w14:textId="77777777" w:rsidR="00634E39" w:rsidRDefault="00FA0F66">
      <w:pPr>
        <w:spacing w:after="202" w:line="250" w:lineRule="auto"/>
        <w:ind w:left="279" w:right="279" w:hanging="10"/>
        <w:jc w:val="both"/>
      </w:pPr>
      <w:r>
        <w:rPr>
          <w:rFonts w:ascii="DejaVu Sans" w:eastAsia="DejaVu Sans" w:hAnsi="DejaVu Sans" w:cs="DejaVu Sans"/>
          <w:i/>
          <w:sz w:val="18"/>
        </w:rPr>
        <w:t>Visto que se hace necesario la inclusión de estas modificaciones en el Plan Estratégico de Subvenciones aprobadas, se PROPONE AL PLENO CORPORATIVO, la adopción del siguiente acuerdo:</w:t>
      </w:r>
    </w:p>
    <w:p w14:paraId="3764C102" w14:textId="77777777" w:rsidR="00634E39" w:rsidRDefault="00FA0F66">
      <w:pPr>
        <w:spacing w:after="202" w:line="250" w:lineRule="auto"/>
        <w:ind w:left="279" w:right="279" w:hanging="10"/>
        <w:jc w:val="both"/>
      </w:pPr>
      <w:r>
        <w:rPr>
          <w:rFonts w:ascii="DejaVu Sans" w:eastAsia="DejaVu Sans" w:hAnsi="DejaVu Sans" w:cs="DejaVu Sans"/>
          <w:i/>
          <w:sz w:val="18"/>
        </w:rPr>
        <w:t>Aprobar las modificaciones del Plan Estratégico de Subvenciones del ejercicio 2022 siguientes:</w:t>
      </w:r>
    </w:p>
    <w:p w14:paraId="2F4D33D5" w14:textId="77777777" w:rsidR="00634E39" w:rsidRDefault="00FA0F66">
      <w:pPr>
        <w:spacing w:after="202" w:line="250" w:lineRule="auto"/>
        <w:ind w:left="279" w:right="279" w:hanging="10"/>
        <w:jc w:val="both"/>
      </w:pPr>
      <w:r>
        <w:rPr>
          <w:rFonts w:ascii="DejaVu Sans" w:eastAsia="DejaVu Sans" w:hAnsi="DejaVu Sans" w:cs="DejaVu Sans"/>
          <w:i/>
          <w:sz w:val="18"/>
        </w:rPr>
        <w:t>PRIMERA: Se crea la Línea Estratégica 3.b), con las siguientes características:</w:t>
      </w:r>
    </w:p>
    <w:p w14:paraId="3FCA3E82" w14:textId="77777777" w:rsidR="00634E39" w:rsidRDefault="00FA0F66">
      <w:pPr>
        <w:spacing w:after="202" w:line="250" w:lineRule="auto"/>
        <w:ind w:left="279" w:right="279" w:hanging="10"/>
        <w:jc w:val="both"/>
      </w:pPr>
      <w:r>
        <w:rPr>
          <w:rFonts w:ascii="DejaVu Sans" w:eastAsia="DejaVu Sans" w:hAnsi="DejaVu Sans" w:cs="DejaVu Sans"/>
          <w:i/>
          <w:sz w:val="18"/>
          <w:u w:val="single" w:color="000000"/>
        </w:rPr>
        <w:t>“Denominación</w:t>
      </w:r>
      <w:r>
        <w:rPr>
          <w:rFonts w:ascii="DejaVu Sans" w:eastAsia="DejaVu Sans" w:hAnsi="DejaVu Sans" w:cs="DejaVu Sans"/>
          <w:i/>
          <w:sz w:val="18"/>
        </w:rPr>
        <w:t>: Convenio de Colaboración con la Asociación Cultural Coros y Danzas de Ingenio para la confección del Inventario del Patrimonio Cultural Inmaterial de la Villa de Ingenio.</w:t>
      </w:r>
    </w:p>
    <w:p w14:paraId="4CCCC9AF" w14:textId="77777777" w:rsidR="00634E39" w:rsidRDefault="00FA0F66">
      <w:pPr>
        <w:spacing w:after="202" w:line="250" w:lineRule="auto"/>
        <w:ind w:left="279" w:right="279" w:hanging="10"/>
        <w:jc w:val="both"/>
      </w:pPr>
      <w:r>
        <w:rPr>
          <w:rFonts w:ascii="DejaVu Sans" w:eastAsia="DejaVu Sans" w:hAnsi="DejaVu Sans" w:cs="DejaVu Sans"/>
          <w:i/>
          <w:sz w:val="18"/>
          <w:u w:val="single" w:color="000000"/>
        </w:rPr>
        <w:t>Procedimiento de concesión</w:t>
      </w:r>
      <w:r>
        <w:rPr>
          <w:rFonts w:ascii="DejaVu Sans" w:eastAsia="DejaVu Sans" w:hAnsi="DejaVu Sans" w:cs="DejaVu Sans"/>
          <w:i/>
          <w:sz w:val="18"/>
        </w:rPr>
        <w:t>: Concesión directa. Subvención nominativa</w:t>
      </w:r>
    </w:p>
    <w:p w14:paraId="67620AD9" w14:textId="77777777" w:rsidR="00634E39" w:rsidRDefault="00FA0F66">
      <w:pPr>
        <w:spacing w:after="202" w:line="250" w:lineRule="auto"/>
        <w:ind w:left="279" w:right="279" w:hanging="10"/>
        <w:jc w:val="both"/>
      </w:pPr>
      <w:r>
        <w:rPr>
          <w:rFonts w:ascii="DejaVu Sans" w:eastAsia="DejaVu Sans" w:hAnsi="DejaVu Sans" w:cs="DejaVu Sans"/>
          <w:i/>
          <w:sz w:val="18"/>
          <w:u w:val="single" w:color="000000"/>
        </w:rPr>
        <w:t>Objetivos</w:t>
      </w:r>
      <w:r>
        <w:rPr>
          <w:rFonts w:ascii="DejaVu Sans" w:eastAsia="DejaVu Sans" w:hAnsi="DejaVu Sans" w:cs="DejaVu Sans"/>
          <w:i/>
          <w:sz w:val="18"/>
        </w:rPr>
        <w:t>: Reconocimiento, protección y difusión del Patrimonio Cultural Inmaterial de la Villa de Ingenio.</w:t>
      </w:r>
    </w:p>
    <w:p w14:paraId="37472397" w14:textId="77777777" w:rsidR="00634E39" w:rsidRDefault="00FA0F66">
      <w:pPr>
        <w:spacing w:after="81" w:line="250" w:lineRule="auto"/>
        <w:ind w:left="279" w:right="279" w:hanging="10"/>
        <w:jc w:val="both"/>
      </w:pPr>
      <w:r>
        <w:rPr>
          <w:rFonts w:ascii="DejaVu Sans" w:eastAsia="DejaVu Sans" w:hAnsi="DejaVu Sans" w:cs="DejaVu Sans"/>
          <w:i/>
          <w:sz w:val="18"/>
          <w:u w:val="single" w:color="000000"/>
        </w:rPr>
        <w:t>Importe</w:t>
      </w:r>
      <w:r>
        <w:rPr>
          <w:rFonts w:ascii="DejaVu Sans" w:eastAsia="DejaVu Sans" w:hAnsi="DejaVu Sans" w:cs="DejaVu Sans"/>
          <w:i/>
          <w:sz w:val="18"/>
        </w:rPr>
        <w:t>: 20.000,00 euros.</w:t>
      </w:r>
    </w:p>
    <w:p w14:paraId="3F2D1BE4" w14:textId="77777777" w:rsidR="00634E39" w:rsidRDefault="00FA0F66">
      <w:pPr>
        <w:spacing w:after="105"/>
        <w:ind w:left="-2"/>
      </w:pPr>
      <w:r>
        <w:rPr>
          <w:noProof/>
        </w:rPr>
        <mc:AlternateContent>
          <mc:Choice Requires="wpg">
            <w:drawing>
              <wp:inline distT="0" distB="0" distL="0" distR="0" wp14:anchorId="7A6DE65B" wp14:editId="652B2891">
                <wp:extent cx="5399405" cy="6350"/>
                <wp:effectExtent l="0" t="0" r="0" b="0"/>
                <wp:docPr id="1752" name="Group 1752"/>
                <wp:cNvGraphicFramePr/>
                <a:graphic xmlns:a="http://schemas.openxmlformats.org/drawingml/2006/main">
                  <a:graphicData uri="http://schemas.microsoft.com/office/word/2010/wordprocessingGroup">
                    <wpg:wgp>
                      <wpg:cNvGrpSpPr/>
                      <wpg:grpSpPr>
                        <a:xfrm>
                          <a:off x="0" y="0"/>
                          <a:ext cx="5399405" cy="6350"/>
                          <a:chOff x="0" y="0"/>
                          <a:chExt cx="5399405" cy="6350"/>
                        </a:xfrm>
                      </wpg:grpSpPr>
                      <wps:wsp>
                        <wps:cNvPr id="114" name="Shape 114"/>
                        <wps:cNvSpPr/>
                        <wps:spPr>
                          <a:xfrm>
                            <a:off x="0" y="0"/>
                            <a:ext cx="5399405" cy="0"/>
                          </a:xfrm>
                          <a:custGeom>
                            <a:avLst/>
                            <a:gdLst/>
                            <a:ahLst/>
                            <a:cxnLst/>
                            <a:rect l="0" t="0" r="0" b="0"/>
                            <a:pathLst>
                              <a:path w="5399405">
                                <a:moveTo>
                                  <a:pt x="0" y="0"/>
                                </a:moveTo>
                                <a:lnTo>
                                  <a:pt x="539940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2" style="width:425.15pt;height:0.5pt;mso-position-horizontal-relative:char;mso-position-vertical-relative:line" coordsize="53994,63">
                <v:shape id="Shape 114" style="position:absolute;width:53994;height:0;left:0;top:0;" coordsize="5399405,0" path="m0,0l5399405,0">
                  <v:stroke weight="0.5pt" endcap="flat" joinstyle="round" on="true" color="#000000"/>
                  <v:fill on="false" color="#000000" opacity="0"/>
                </v:shape>
              </v:group>
            </w:pict>
          </mc:Fallback>
        </mc:AlternateContent>
      </w:r>
    </w:p>
    <w:p w14:paraId="4093D0F8" w14:textId="77777777" w:rsidR="00634E39" w:rsidRDefault="00FA0F66">
      <w:pPr>
        <w:pStyle w:val="Ttulo1"/>
        <w:ind w:right="4"/>
      </w:pPr>
      <w:r>
        <w:lastRenderedPageBreak/>
        <w:t>Ayuntamiento de La Villa de Ingenio</w:t>
      </w:r>
    </w:p>
    <w:p w14:paraId="01C49D74" w14:textId="77777777" w:rsidR="00634E39" w:rsidRDefault="00FA0F66">
      <w:pPr>
        <w:spacing w:after="107"/>
        <w:ind w:left="10" w:right="8" w:hanging="10"/>
        <w:jc w:val="center"/>
      </w:pPr>
      <w:r>
        <w:rPr>
          <w:rFonts w:ascii="DejaVu Sans" w:eastAsia="DejaVu Sans" w:hAnsi="DejaVu Sans" w:cs="DejaVu Sans"/>
          <w:sz w:val="16"/>
        </w:rPr>
        <w:t>Plaza de la Candelaria, nº1, Ingenio. 35250 (Las Palmas). Tfno. 928 780 076. Fax: 928 781 247</w:t>
      </w:r>
    </w:p>
    <w:p w14:paraId="6ED91912" w14:textId="77777777" w:rsidR="00634E39" w:rsidRDefault="00FA0F66">
      <w:pPr>
        <w:spacing w:after="393"/>
        <w:ind w:left="284"/>
      </w:pPr>
      <w:r>
        <w:rPr>
          <w:rFonts w:ascii="DejaVu Sans" w:eastAsia="DejaVu Sans" w:hAnsi="DejaVu Sans" w:cs="DejaVu Sans"/>
          <w:i/>
          <w:sz w:val="18"/>
          <w:u w:val="single" w:color="000000"/>
        </w:rPr>
        <w:t>Aplicación presupuestaria</w:t>
      </w:r>
      <w:r>
        <w:rPr>
          <w:rFonts w:ascii="DejaVu Sans" w:eastAsia="DejaVu Sans" w:hAnsi="DejaVu Sans" w:cs="DejaVu Sans"/>
          <w:i/>
          <w:sz w:val="18"/>
        </w:rPr>
        <w:t>: 3360.489.00.”</w:t>
      </w:r>
    </w:p>
    <w:p w14:paraId="19A3AEA5" w14:textId="77777777" w:rsidR="00634E39" w:rsidRDefault="00FA0F66">
      <w:pPr>
        <w:spacing w:after="190" w:line="241" w:lineRule="auto"/>
        <w:ind w:left="-5" w:right="-11" w:hanging="10"/>
        <w:jc w:val="both"/>
      </w:pPr>
      <w:r>
        <w:rPr>
          <w:rFonts w:ascii="DejaVu Sans" w:eastAsia="DejaVu Sans" w:hAnsi="DejaVu Sans" w:cs="DejaVu Sans"/>
          <w:b/>
          <w:sz w:val="18"/>
        </w:rPr>
        <w:t xml:space="preserve">Sometida a votación la trascrita propuesta, acuerdan, por unanimidad,  </w:t>
      </w:r>
      <w:r>
        <w:rPr>
          <w:rFonts w:ascii="DejaVu Sans" w:eastAsia="DejaVu Sans" w:hAnsi="DejaVu Sans" w:cs="DejaVu Sans"/>
          <w:b/>
          <w:sz w:val="20"/>
        </w:rPr>
        <w:t>y por tanto, por mayoría absoluta del número legal de miembros de la Corporación, aprobarla en todas sus partes y en sus propios términos</w:t>
      </w:r>
    </w:p>
    <w:p w14:paraId="376FB819" w14:textId="77777777" w:rsidR="00634E39" w:rsidRDefault="00FA0F66">
      <w:pPr>
        <w:spacing w:after="7" w:line="250" w:lineRule="auto"/>
        <w:ind w:left="-5" w:right="-1" w:hanging="10"/>
        <w:jc w:val="both"/>
      </w:pPr>
      <w:r>
        <w:rPr>
          <w:rFonts w:ascii="DejaVu Sans" w:eastAsia="DejaVu Sans" w:hAnsi="DejaVu Sans" w:cs="DejaVu Sans"/>
          <w:sz w:val="18"/>
        </w:rPr>
        <w:t xml:space="preserve">Y para que conste, a los efectos oportunos en el expediente de su razón, de orden y con el V.º </w:t>
      </w:r>
    </w:p>
    <w:p w14:paraId="53F66DD9" w14:textId="77777777" w:rsidR="00634E39" w:rsidRDefault="00FA0F66">
      <w:pPr>
        <w:spacing w:after="443" w:line="250" w:lineRule="auto"/>
        <w:ind w:left="-5" w:right="-1" w:hanging="10"/>
        <w:jc w:val="both"/>
      </w:pPr>
      <w:r>
        <w:rPr>
          <w:rFonts w:ascii="DejaVu Sans" w:eastAsia="DejaVu Sans" w:hAnsi="DejaVu Sans" w:cs="DejaVu Sans"/>
          <w:sz w:val="18"/>
        </w:rPr>
        <w:t xml:space="preserve">B.º del Sra. Alcaldesa, con la salvedad prevista en el artículo 206 del Reglamento de </w:t>
      </w:r>
      <w:r>
        <w:rPr>
          <w:rFonts w:ascii="DejaVu Sans" w:eastAsia="DejaVu Sans" w:hAnsi="DejaVu Sans" w:cs="DejaVu Sans"/>
          <w:sz w:val="18"/>
        </w:rPr>
        <w:t>Organización, Funcionamiento y Régimen Jurídico de las Entidades Locales aprobado por Real Decreto 2568/1986, de 28 de noviembre, se expide la presente.</w:t>
      </w:r>
    </w:p>
    <w:p w14:paraId="2FE104B6" w14:textId="77777777" w:rsidR="00634E39" w:rsidRDefault="00FA0F66">
      <w:pPr>
        <w:spacing w:after="9276" w:line="265" w:lineRule="auto"/>
        <w:ind w:left="10" w:right="3" w:hanging="10"/>
        <w:jc w:val="center"/>
      </w:pPr>
      <w:r>
        <w:rPr>
          <w:noProof/>
        </w:rPr>
        <mc:AlternateContent>
          <mc:Choice Requires="wpg">
            <w:drawing>
              <wp:anchor distT="0" distB="0" distL="114300" distR="114300" simplePos="0" relativeHeight="251661312" behindDoc="0" locked="0" layoutInCell="1" allowOverlap="1" wp14:anchorId="43C03817" wp14:editId="40349609">
                <wp:simplePos x="0" y="0"/>
                <wp:positionH relativeFrom="page">
                  <wp:posOffset>1080770</wp:posOffset>
                </wp:positionH>
                <wp:positionV relativeFrom="page">
                  <wp:posOffset>450225</wp:posOffset>
                </wp:positionV>
                <wp:extent cx="5399405" cy="1236631"/>
                <wp:effectExtent l="0" t="0" r="0" b="0"/>
                <wp:wrapTopAndBottom/>
                <wp:docPr id="1560" name="Group 1560"/>
                <wp:cNvGraphicFramePr/>
                <a:graphic xmlns:a="http://schemas.openxmlformats.org/drawingml/2006/main">
                  <a:graphicData uri="http://schemas.microsoft.com/office/word/2010/wordprocessingGroup">
                    <wpg:wgp>
                      <wpg:cNvGrpSpPr/>
                      <wpg:grpSpPr>
                        <a:xfrm>
                          <a:off x="0" y="0"/>
                          <a:ext cx="5399405" cy="1236631"/>
                          <a:chOff x="0" y="0"/>
                          <a:chExt cx="5399405" cy="1236631"/>
                        </a:xfrm>
                      </wpg:grpSpPr>
                      <pic:pic xmlns:pic="http://schemas.openxmlformats.org/drawingml/2006/picture">
                        <pic:nvPicPr>
                          <pic:cNvPr id="142" name="Picture 142"/>
                          <pic:cNvPicPr/>
                        </pic:nvPicPr>
                        <pic:blipFill>
                          <a:blip r:embed="rId7"/>
                          <a:stretch>
                            <a:fillRect/>
                          </a:stretch>
                        </pic:blipFill>
                        <pic:spPr>
                          <a:xfrm>
                            <a:off x="0" y="0"/>
                            <a:ext cx="927100" cy="697230"/>
                          </a:xfrm>
                          <a:prstGeom prst="rect">
                            <a:avLst/>
                          </a:prstGeom>
                        </pic:spPr>
                      </pic:pic>
                      <wps:wsp>
                        <wps:cNvPr id="143" name="Rectangle 143"/>
                        <wps:cNvSpPr/>
                        <wps:spPr>
                          <a:xfrm>
                            <a:off x="929640" y="581251"/>
                            <a:ext cx="53544" cy="196622"/>
                          </a:xfrm>
                          <a:prstGeom prst="rect">
                            <a:avLst/>
                          </a:prstGeom>
                          <a:ln>
                            <a:noFill/>
                          </a:ln>
                        </wps:spPr>
                        <wps:txbx>
                          <w:txbxContent>
                            <w:p w14:paraId="7B00433E" w14:textId="77777777" w:rsidR="00634E39" w:rsidRDefault="00FA0F66">
                              <w:r>
                                <w:rPr>
                                  <w:rFonts w:ascii="DejaVu Sans" w:eastAsia="DejaVu Sans" w:hAnsi="DejaVu Sans" w:cs="DejaVu Sans"/>
                                  <w:sz w:val="20"/>
                                </w:rPr>
                                <w:t xml:space="preserve"> </w:t>
                              </w:r>
                            </w:p>
                          </w:txbxContent>
                        </wps:txbx>
                        <wps:bodyPr horzOverflow="overflow" vert="horz" lIns="0" tIns="0" rIns="0" bIns="0" rtlCol="0">
                          <a:noAutofit/>
                        </wps:bodyPr>
                      </wps:wsp>
                      <wps:wsp>
                        <wps:cNvPr id="144" name="Rectangle 144"/>
                        <wps:cNvSpPr/>
                        <wps:spPr>
                          <a:xfrm>
                            <a:off x="885190" y="699197"/>
                            <a:ext cx="4826199" cy="275271"/>
                          </a:xfrm>
                          <a:prstGeom prst="rect">
                            <a:avLst/>
                          </a:prstGeom>
                          <a:ln>
                            <a:noFill/>
                          </a:ln>
                        </wps:spPr>
                        <wps:txbx>
                          <w:txbxContent>
                            <w:p w14:paraId="02BE1030" w14:textId="77777777" w:rsidR="00634E39" w:rsidRDefault="00FA0F66">
                              <w:r>
                                <w:rPr>
                                  <w:rFonts w:ascii="DejaVu Sans" w:eastAsia="DejaVu Sans" w:hAnsi="DejaVu Sans" w:cs="DejaVu Sans"/>
                                  <w:b/>
                                  <w:sz w:val="28"/>
                                </w:rPr>
                                <w:t>Ayuntamiento de La Villa de Ingenio</w:t>
                              </w:r>
                            </w:p>
                          </w:txbxContent>
                        </wps:txbx>
                        <wps:bodyPr horzOverflow="overflow" vert="horz" lIns="0" tIns="0" rIns="0" bIns="0" rtlCol="0">
                          <a:noAutofit/>
                        </wps:bodyPr>
                      </wps:wsp>
                      <wps:wsp>
                        <wps:cNvPr id="1556" name="Rectangle 1556"/>
                        <wps:cNvSpPr/>
                        <wps:spPr>
                          <a:xfrm>
                            <a:off x="181610" y="1103579"/>
                            <a:ext cx="946774" cy="176960"/>
                          </a:xfrm>
                          <a:prstGeom prst="rect">
                            <a:avLst/>
                          </a:prstGeom>
                          <a:ln>
                            <a:noFill/>
                          </a:ln>
                        </wps:spPr>
                        <wps:txbx>
                          <w:txbxContent>
                            <w:p w14:paraId="4BFF0132" w14:textId="77777777" w:rsidR="00634E39" w:rsidRDefault="00FA0F66">
                              <w:r>
                                <w:rPr>
                                  <w:rFonts w:ascii="DejaVu Sans" w:eastAsia="DejaVu Sans" w:hAnsi="DejaVu Sans" w:cs="DejaVu Sans"/>
                                  <w:i/>
                                  <w:sz w:val="18"/>
                                  <w:u w:val="single" w:color="000000"/>
                                </w:rPr>
                                <w:t>Financiación</w:t>
                              </w:r>
                            </w:p>
                          </w:txbxContent>
                        </wps:txbx>
                        <wps:bodyPr horzOverflow="overflow" vert="horz" lIns="0" tIns="0" rIns="0" bIns="0" rtlCol="0">
                          <a:noAutofit/>
                        </wps:bodyPr>
                      </wps:wsp>
                      <wps:wsp>
                        <wps:cNvPr id="1557" name="Rectangle 1557"/>
                        <wps:cNvSpPr/>
                        <wps:spPr>
                          <a:xfrm>
                            <a:off x="895350" y="1103579"/>
                            <a:ext cx="51078" cy="176960"/>
                          </a:xfrm>
                          <a:prstGeom prst="rect">
                            <a:avLst/>
                          </a:prstGeom>
                          <a:ln>
                            <a:noFill/>
                          </a:ln>
                        </wps:spPr>
                        <wps:txbx>
                          <w:txbxContent>
                            <w:p w14:paraId="2236D2E7" w14:textId="77777777" w:rsidR="00634E39" w:rsidRDefault="00FA0F66">
                              <w:r>
                                <w:rPr>
                                  <w:rFonts w:ascii="DejaVu Sans" w:eastAsia="DejaVu Sans" w:hAnsi="DejaVu Sans" w:cs="DejaVu Sans"/>
                                  <w:i/>
                                  <w:sz w:val="18"/>
                                </w:rPr>
                                <w:t>:</w:t>
                              </w:r>
                            </w:p>
                          </w:txbxContent>
                        </wps:txbx>
                        <wps:bodyPr horzOverflow="overflow" vert="horz" lIns="0" tIns="0" rIns="0" bIns="0" rtlCol="0">
                          <a:noAutofit/>
                        </wps:bodyPr>
                      </wps:wsp>
                      <wps:wsp>
                        <wps:cNvPr id="1535" name="Rectangle 1535"/>
                        <wps:cNvSpPr/>
                        <wps:spPr>
                          <a:xfrm>
                            <a:off x="933412" y="1103579"/>
                            <a:ext cx="1399639" cy="176960"/>
                          </a:xfrm>
                          <a:prstGeom prst="rect">
                            <a:avLst/>
                          </a:prstGeom>
                          <a:ln>
                            <a:noFill/>
                          </a:ln>
                        </wps:spPr>
                        <wps:txbx>
                          <w:txbxContent>
                            <w:p w14:paraId="081EE412" w14:textId="77777777" w:rsidR="00634E39" w:rsidRDefault="00FA0F66">
                              <w:r>
                                <w:rPr>
                                  <w:rFonts w:ascii="DejaVu Sans" w:eastAsia="DejaVu Sans" w:hAnsi="DejaVu Sans" w:cs="DejaVu Sans"/>
                                  <w:i/>
                                  <w:sz w:val="18"/>
                                </w:rPr>
                                <w:t xml:space="preserve"> Recursos propios.</w:t>
                              </w:r>
                            </w:p>
                          </w:txbxContent>
                        </wps:txbx>
                        <wps:bodyPr horzOverflow="overflow" vert="horz" lIns="0" tIns="0" rIns="0" bIns="0" rtlCol="0">
                          <a:noAutofit/>
                        </wps:bodyPr>
                      </wps:wsp>
                      <wps:wsp>
                        <wps:cNvPr id="167" name="Shape 167"/>
                        <wps:cNvSpPr/>
                        <wps:spPr>
                          <a:xfrm>
                            <a:off x="0" y="972185"/>
                            <a:ext cx="5399405" cy="0"/>
                          </a:xfrm>
                          <a:custGeom>
                            <a:avLst/>
                            <a:gdLst/>
                            <a:ahLst/>
                            <a:cxnLst/>
                            <a:rect l="0" t="0" r="0" b="0"/>
                            <a:pathLst>
                              <a:path w="5399405">
                                <a:moveTo>
                                  <a:pt x="539940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0" style="width:425.15pt;height:97.3725pt;position:absolute;mso-position-horizontal-relative:page;mso-position-horizontal:absolute;margin-left:85.1pt;mso-position-vertical-relative:page;margin-top:35.4508pt;" coordsize="53994,12366">
                <v:shape id="Picture 142" style="position:absolute;width:9271;height:6972;left:0;top:0;" filled="f">
                  <v:imagedata r:id="rId5"/>
                </v:shape>
                <v:rect id="Rectangle 143" style="position:absolute;width:535;height:1966;left:9296;top:5812;" filled="f" stroked="f">
                  <v:textbox inset="0,0,0,0">
                    <w:txbxContent>
                      <w:p>
                        <w:pPr>
                          <w:spacing w:before="0" w:after="160" w:line="259" w:lineRule="auto"/>
                        </w:pPr>
                        <w:r>
                          <w:rPr>
                            <w:rFonts w:cs="DejaVu Sans" w:hAnsi="DejaVu Sans" w:eastAsia="DejaVu Sans" w:ascii="DejaVu Sans"/>
                            <w:sz w:val="20"/>
                          </w:rPr>
                          <w:t xml:space="preserve"> </w:t>
                        </w:r>
                      </w:p>
                    </w:txbxContent>
                  </v:textbox>
                </v:rect>
                <v:rect id="Rectangle 144" style="position:absolute;width:48261;height:2752;left:8851;top:6991;" filled="f" stroked="f">
                  <v:textbox inset="0,0,0,0">
                    <w:txbxContent>
                      <w:p>
                        <w:pPr>
                          <w:spacing w:before="0" w:after="160" w:line="259" w:lineRule="auto"/>
                        </w:pPr>
                        <w:r>
                          <w:rPr>
                            <w:rFonts w:cs="DejaVu Sans" w:hAnsi="DejaVu Sans" w:eastAsia="DejaVu Sans" w:ascii="DejaVu Sans"/>
                            <w:b w:val="1"/>
                            <w:sz w:val="28"/>
                          </w:rPr>
                          <w:t xml:space="preserve">Ayuntamiento de La Villa de Ingenio</w:t>
                        </w:r>
                      </w:p>
                    </w:txbxContent>
                  </v:textbox>
                </v:rect>
                <v:rect id="Rectangle 1556" style="position:absolute;width:9467;height:1769;left:1816;top:11035;" filled="f" stroked="f">
                  <v:textbox inset="0,0,0,0">
                    <w:txbxContent>
                      <w:p>
                        <w:pPr>
                          <w:spacing w:before="0" w:after="160" w:line="259" w:lineRule="auto"/>
                        </w:pPr>
                        <w:r>
                          <w:rPr>
                            <w:rFonts w:cs="DejaVu Sans" w:hAnsi="DejaVu Sans" w:eastAsia="DejaVu Sans" w:ascii="DejaVu Sans"/>
                            <w:i w:val="1"/>
                            <w:sz w:val="18"/>
                            <w:u w:val="single" w:color="000000"/>
                          </w:rPr>
                          <w:t xml:space="preserve">Financiación</w:t>
                        </w:r>
                      </w:p>
                    </w:txbxContent>
                  </v:textbox>
                </v:rect>
                <v:rect id="Rectangle 1557" style="position:absolute;width:510;height:1769;left:8953;top:11035;" filled="f" stroked="f">
                  <v:textbox inset="0,0,0,0">
                    <w:txbxContent>
                      <w:p>
                        <w:pPr>
                          <w:spacing w:before="0" w:after="160" w:line="259" w:lineRule="auto"/>
                        </w:pPr>
                        <w:r>
                          <w:rPr>
                            <w:rFonts w:cs="DejaVu Sans" w:hAnsi="DejaVu Sans" w:eastAsia="DejaVu Sans" w:ascii="DejaVu Sans"/>
                            <w:i w:val="1"/>
                            <w:sz w:val="18"/>
                          </w:rPr>
                          <w:t xml:space="preserve">:</w:t>
                        </w:r>
                      </w:p>
                    </w:txbxContent>
                  </v:textbox>
                </v:rect>
                <v:rect id="Rectangle 1535" style="position:absolute;width:13996;height:1769;left:9334;top:11035;" filled="f" stroked="f">
                  <v:textbox inset="0,0,0,0">
                    <w:txbxContent>
                      <w:p>
                        <w:pPr>
                          <w:spacing w:before="0" w:after="160" w:line="259" w:lineRule="auto"/>
                        </w:pPr>
                        <w:r>
                          <w:rPr>
                            <w:rFonts w:cs="DejaVu Sans" w:hAnsi="DejaVu Sans" w:eastAsia="DejaVu Sans" w:ascii="DejaVu Sans"/>
                            <w:i w:val="1"/>
                            <w:sz w:val="18"/>
                          </w:rPr>
                          <w:t xml:space="preserve"> Recursos propios.</w:t>
                        </w:r>
                      </w:p>
                    </w:txbxContent>
                  </v:textbox>
                </v:rect>
                <v:shape id="Shape 167" style="position:absolute;width:53994;height:0;left:0;top:9721;" coordsize="5399405,0" path="m5399405,0l0,0">
                  <v:stroke weight="0.5pt" endcap="flat"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3C6C9C47" wp14:editId="2DB434CC">
                <wp:simplePos x="0" y="0"/>
                <wp:positionH relativeFrom="page">
                  <wp:posOffset>6861810</wp:posOffset>
                </wp:positionH>
                <wp:positionV relativeFrom="page">
                  <wp:posOffset>6374000</wp:posOffset>
                </wp:positionV>
                <wp:extent cx="524148" cy="3937000"/>
                <wp:effectExtent l="0" t="0" r="0" b="0"/>
                <wp:wrapSquare wrapText="bothSides"/>
                <wp:docPr id="1562" name="Group 1562"/>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170" name="Picture 170"/>
                          <pic:cNvPicPr/>
                        </pic:nvPicPr>
                        <pic:blipFill>
                          <a:blip r:embed="rId6"/>
                          <a:stretch>
                            <a:fillRect/>
                          </a:stretch>
                        </pic:blipFill>
                        <pic:spPr>
                          <a:xfrm rot="-5399999">
                            <a:off x="-1790700" y="1790699"/>
                            <a:ext cx="3937000" cy="355601"/>
                          </a:xfrm>
                          <a:prstGeom prst="rect">
                            <a:avLst/>
                          </a:prstGeom>
                        </pic:spPr>
                      </pic:pic>
                      <wps:wsp>
                        <wps:cNvPr id="171" name="Rectangle 171"/>
                        <wps:cNvSpPr/>
                        <wps:spPr>
                          <a:xfrm rot="-5399999">
                            <a:off x="-1852798" y="1608160"/>
                            <a:ext cx="4544457" cy="113224"/>
                          </a:xfrm>
                          <a:prstGeom prst="rect">
                            <a:avLst/>
                          </a:prstGeom>
                          <a:ln>
                            <a:noFill/>
                          </a:ln>
                        </wps:spPr>
                        <wps:txbx>
                          <w:txbxContent>
                            <w:p w14:paraId="0352FDA5" w14:textId="77777777" w:rsidR="00634E39" w:rsidRDefault="00FA0F66">
                              <w:r>
                                <w:rPr>
                                  <w:rFonts w:ascii="Arial" w:eastAsia="Arial" w:hAnsi="Arial" w:cs="Arial"/>
                                  <w:sz w:val="12"/>
                                </w:rPr>
                                <w:t xml:space="preserve">Cód. Validación: 5LGGLYL333WYY9WA269NTDJM3 | Verificación: https://ingenio.sedelectronica.es/ </w:t>
                              </w:r>
                            </w:p>
                          </w:txbxContent>
                        </wps:txbx>
                        <wps:bodyPr horzOverflow="overflow" vert="horz" lIns="0" tIns="0" rIns="0" bIns="0" rtlCol="0">
                          <a:noAutofit/>
                        </wps:bodyPr>
                      </wps:wsp>
                      <wps:wsp>
                        <wps:cNvPr id="172" name="Rectangle 172"/>
                        <wps:cNvSpPr/>
                        <wps:spPr>
                          <a:xfrm rot="-5399999">
                            <a:off x="-1623057" y="1761700"/>
                            <a:ext cx="4237377" cy="113224"/>
                          </a:xfrm>
                          <a:prstGeom prst="rect">
                            <a:avLst/>
                          </a:prstGeom>
                          <a:ln>
                            <a:noFill/>
                          </a:ln>
                        </wps:spPr>
                        <wps:txbx>
                          <w:txbxContent>
                            <w:p w14:paraId="2C3C3CDF" w14:textId="77777777" w:rsidR="00634E39" w:rsidRDefault="00FA0F66">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1562" style="width:41.2715pt;height:310pt;position:absolute;mso-position-horizontal-relative:page;mso-position-horizontal:absolute;margin-left:540.3pt;mso-position-vertical-relative:page;margin-top:501.89pt;" coordsize="5241,39370">
                <v:shape id="Picture 170" style="position:absolute;width:39370;height:3556;left:-17907;top:17906;rotation:-89;" filled="f">
                  <v:imagedata r:id="rId7"/>
                </v:shape>
                <v:rect id="Rectangle 171" style="position:absolute;width:45444;height:1132;left:-18527;top:1608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5LGGLYL333WYY9WA269NTDJM3 | Verificación: https://ingenio.sedelectronica.es/ </w:t>
                        </w:r>
                      </w:p>
                    </w:txbxContent>
                  </v:textbox>
                </v:rect>
                <v:rect id="Rectangle 172" style="position:absolute;width:42373;height:1132;left:-16230;top:1761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rPr>
          <w:rFonts w:ascii="DejaVu Sans" w:eastAsia="DejaVu Sans" w:hAnsi="DejaVu Sans" w:cs="DejaVu Sans"/>
          <w:b/>
          <w:sz w:val="18"/>
        </w:rPr>
        <w:t>DOCUMENTO FIRMADO ELECTRÓNICAMENTE</w:t>
      </w:r>
    </w:p>
    <w:p w14:paraId="667E7CA7" w14:textId="77777777" w:rsidR="00634E39" w:rsidRDefault="00FA0F66">
      <w:pPr>
        <w:spacing w:after="105"/>
        <w:ind w:left="-2"/>
      </w:pPr>
      <w:r>
        <w:rPr>
          <w:noProof/>
        </w:rPr>
        <mc:AlternateContent>
          <mc:Choice Requires="wpg">
            <w:drawing>
              <wp:inline distT="0" distB="0" distL="0" distR="0" wp14:anchorId="755A4A40" wp14:editId="23DF78C8">
                <wp:extent cx="5399405" cy="6350"/>
                <wp:effectExtent l="0" t="0" r="0" b="0"/>
                <wp:docPr id="1561" name="Group 1561"/>
                <wp:cNvGraphicFramePr/>
                <a:graphic xmlns:a="http://schemas.openxmlformats.org/drawingml/2006/main">
                  <a:graphicData uri="http://schemas.microsoft.com/office/word/2010/wordprocessingGroup">
                    <wpg:wgp>
                      <wpg:cNvGrpSpPr/>
                      <wpg:grpSpPr>
                        <a:xfrm>
                          <a:off x="0" y="0"/>
                          <a:ext cx="5399405" cy="6350"/>
                          <a:chOff x="0" y="0"/>
                          <a:chExt cx="5399405" cy="6350"/>
                        </a:xfrm>
                      </wpg:grpSpPr>
                      <wps:wsp>
                        <wps:cNvPr id="168" name="Shape 168"/>
                        <wps:cNvSpPr/>
                        <wps:spPr>
                          <a:xfrm>
                            <a:off x="0" y="0"/>
                            <a:ext cx="5399405" cy="0"/>
                          </a:xfrm>
                          <a:custGeom>
                            <a:avLst/>
                            <a:gdLst/>
                            <a:ahLst/>
                            <a:cxnLst/>
                            <a:rect l="0" t="0" r="0" b="0"/>
                            <a:pathLst>
                              <a:path w="5399405">
                                <a:moveTo>
                                  <a:pt x="0" y="0"/>
                                </a:moveTo>
                                <a:lnTo>
                                  <a:pt x="539940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1" style="width:425.15pt;height:0.5pt;mso-position-horizontal-relative:char;mso-position-vertical-relative:line" coordsize="53994,63">
                <v:shape id="Shape 168" style="position:absolute;width:53994;height:0;left:0;top:0;" coordsize="5399405,0" path="m0,0l5399405,0">
                  <v:stroke weight="0.5pt" endcap="flat" joinstyle="round" on="true" color="#000000"/>
                  <v:fill on="false" color="#000000" opacity="0"/>
                </v:shape>
              </v:group>
            </w:pict>
          </mc:Fallback>
        </mc:AlternateContent>
      </w:r>
    </w:p>
    <w:p w14:paraId="1D80F7E6" w14:textId="77777777" w:rsidR="00634E39" w:rsidRDefault="00FA0F66">
      <w:pPr>
        <w:pStyle w:val="Ttulo1"/>
        <w:ind w:right="4"/>
      </w:pPr>
      <w:r>
        <w:lastRenderedPageBreak/>
        <w:t>Ayuntamiento de La Villa de Ingenio</w:t>
      </w:r>
    </w:p>
    <w:p w14:paraId="77B2F53D" w14:textId="77777777" w:rsidR="00634E39" w:rsidRDefault="00FA0F66">
      <w:pPr>
        <w:spacing w:after="107"/>
        <w:ind w:left="10" w:right="8" w:hanging="10"/>
        <w:jc w:val="center"/>
      </w:pPr>
      <w:r>
        <w:rPr>
          <w:rFonts w:ascii="DejaVu Sans" w:eastAsia="DejaVu Sans" w:hAnsi="DejaVu Sans" w:cs="DejaVu Sans"/>
          <w:sz w:val="16"/>
        </w:rPr>
        <w:t>Plaza de la Candelaria, nº1, Ingenio. 35250 (Las Palmas). Tfno. 928 780 076. Fax: 928 781 247</w:t>
      </w:r>
    </w:p>
    <w:sectPr w:rsidR="00634E39">
      <w:pgSz w:w="11906" w:h="16838"/>
      <w:pgMar w:top="2448" w:right="1698" w:bottom="828"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39"/>
    <w:rsid w:val="00634E39"/>
    <w:rsid w:val="00AF3B86"/>
    <w:rsid w:val="00FA0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A64B"/>
  <w15:docId w15:val="{1ED8A70C-0C49-4A13-97CF-676A3642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65"/>
      <w:ind w:left="10" w:hanging="10"/>
      <w:jc w:val="center"/>
      <w:outlineLvl w:val="0"/>
    </w:pPr>
    <w:rPr>
      <w:rFonts w:ascii="DejaVu Sans" w:eastAsia="DejaVu Sans" w:hAnsi="DejaVu Sans" w:cs="DejaVu Sans"/>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DejaVu Sans" w:eastAsia="DejaVu Sans" w:hAnsi="DejaVu Sans" w:cs="DejaVu Sans"/>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2860</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