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B26E" w14:textId="77777777" w:rsidR="007E1A4C" w:rsidRDefault="006D60E6">
      <w:pPr>
        <w:spacing w:after="186" w:line="259" w:lineRule="auto"/>
        <w:ind w:left="0" w:firstLine="0"/>
      </w:pPr>
      <w:r>
        <w:rPr>
          <w:noProof/>
        </w:rPr>
        <w:drawing>
          <wp:inline distT="0" distB="0" distL="0" distR="0" wp14:anchorId="27E46289" wp14:editId="7FA4F4A3">
            <wp:extent cx="2548128" cy="665988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646A04D1" w14:textId="77777777" w:rsidR="007E1A4C" w:rsidRDefault="006D60E6">
      <w:pPr>
        <w:spacing w:after="169" w:line="259" w:lineRule="auto"/>
        <w:ind w:left="0" w:firstLine="0"/>
      </w:pPr>
      <w:r>
        <w:rPr>
          <w:b/>
          <w:sz w:val="36"/>
          <w:u w:val="single" w:color="000000"/>
        </w:rPr>
        <w:t>El Pleno (Funciones y Composición)</w:t>
      </w:r>
      <w:r>
        <w:rPr>
          <w:b/>
          <w:sz w:val="36"/>
        </w:rPr>
        <w:t xml:space="preserve"> (</w:t>
      </w:r>
      <w:r>
        <w:rPr>
          <w:b/>
        </w:rPr>
        <w:t>Gobierno 2019-2023)</w:t>
      </w:r>
      <w:r>
        <w:rPr>
          <w:b/>
          <w:sz w:val="36"/>
        </w:rPr>
        <w:t xml:space="preserve"> </w:t>
      </w:r>
    </w:p>
    <w:p w14:paraId="5247C47B" w14:textId="77777777" w:rsidR="007E1A4C" w:rsidRDefault="006D60E6">
      <w:pPr>
        <w:spacing w:after="223" w:line="259" w:lineRule="auto"/>
        <w:ind w:left="-5" w:hanging="10"/>
      </w:pPr>
      <w:r>
        <w:rPr>
          <w:b/>
          <w:color w:val="308446"/>
          <w:sz w:val="27"/>
        </w:rPr>
        <w:t>Funciones:</w:t>
      </w:r>
      <w:r>
        <w:rPr>
          <w:b/>
          <w:sz w:val="27"/>
        </w:rPr>
        <w:t xml:space="preserve"> </w:t>
      </w:r>
    </w:p>
    <w:p w14:paraId="26497482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El control y la fiscalización de los órganos de gobierno. </w:t>
      </w:r>
    </w:p>
    <w:p w14:paraId="6B076030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votación de la moción de censura al Alcalde y de la cuestión de confianza planteada por éste, que será pública y se realizará mediante llamamiento nominal en todo caso y se regirá en todos sus aspectos por lo dispuesto en la legislación electoral general. </w:t>
      </w:r>
    </w:p>
    <w:p w14:paraId="1501FDC9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aprobación y modificación de los reglamentos de naturaleza orgánica. Tendrán en todo caso naturaleza orgánica: </w:t>
      </w:r>
    </w:p>
    <w:p w14:paraId="0871D4AD" w14:textId="77777777" w:rsidR="007E1A4C" w:rsidRDefault="006D60E6">
      <w:pPr>
        <w:ind w:left="720" w:right="45" w:firstLine="0"/>
      </w:pPr>
      <w:r>
        <w:t xml:space="preserve">La regulación del Pleno. </w:t>
      </w:r>
    </w:p>
    <w:p w14:paraId="11F89D5C" w14:textId="77777777" w:rsidR="007E1A4C" w:rsidRDefault="006D60E6">
      <w:pPr>
        <w:ind w:left="720" w:right="45" w:firstLine="0"/>
      </w:pPr>
      <w:r>
        <w:t xml:space="preserve">La aprobación y modificación de las ordenanzas y reglamentos municipales. </w:t>
      </w:r>
    </w:p>
    <w:p w14:paraId="09B981DB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Los acuerdos relativos a la delimitación y alteración del término municipal; la creación o supresión de las entidades a que se refiere el artículo 45 de esta ley; el cambio de denominación de Entidades, y la adopción o modificación de su bandera, enseña o escudo. </w:t>
      </w:r>
    </w:p>
    <w:p w14:paraId="2CB76136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Los acuerdos relativos a la participación en organizaciones supramunicipales. </w:t>
      </w:r>
    </w:p>
    <w:p w14:paraId="1219265E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determinación de los recursos propios de carácter tributario. </w:t>
      </w:r>
    </w:p>
    <w:p w14:paraId="69E19E24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aprobación de los presupuestos, de la plantilla de personal, así como la autorización de gastos en las materias de su competencia. Asimismo, aprobará la cuenta general del ejercicio correspondiente. </w:t>
      </w:r>
    </w:p>
    <w:p w14:paraId="0F7CBB8C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aprobación inicial del planeamiento general y la aprobación que ponga fin a la tramitación municipal de los planes y demás instrumentos de ordenación previstos en la legislación urbanística. </w:t>
      </w:r>
    </w:p>
    <w:p w14:paraId="3F33B5FD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transferencia de funciones o actividades a otras Administraciones públicas, así como la aceptación de las delegaciones o encomiendas de gestión realizadas por otras Administraciones, salvo que por ley se impongan obligatoriamente. </w:t>
      </w:r>
    </w:p>
    <w:p w14:paraId="3DD9735E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 determinación de las formas de gestión de los servicios, así como el acuerdo de creación de organismos autónomos, de entidades públicas empresariales y de sociedades mercantiles para la gestión de los servicios de competencia municipal, y la aprobación de los expedientes de municipalización. </w:t>
      </w:r>
    </w:p>
    <w:p w14:paraId="5A2BA96D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Las facultades de revisión de oficio de sus propios actos y disposiciones de carácter general. </w:t>
      </w:r>
    </w:p>
    <w:p w14:paraId="580F90FD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El ejercicio de acciones judiciales y administrativas y la defensa jurídica del Pleno en las materias de su competencia. </w:t>
      </w:r>
    </w:p>
    <w:p w14:paraId="683A244E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Establecer el régimen retributivo de los miembros del Pleno, de su secretario general, del/la Alcalde/sa, de los miembros de la Junta de Gobierno Local y de los órganos directivos municipales. </w:t>
      </w:r>
    </w:p>
    <w:p w14:paraId="198FC1D8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El planteamiento de conflictos de competencia a otras entidades locales y otras Administraciones públicas. </w:t>
      </w:r>
    </w:p>
    <w:p w14:paraId="3B0C3876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Acordar la iniciativa prevista en el último inciso del artículo 121.1, para que el municipio pueda ser incluido en el ámbito de aplicación del título X de esta ley. </w:t>
      </w:r>
    </w:p>
    <w:p w14:paraId="5EDEDB29" w14:textId="77777777" w:rsidR="007E1A4C" w:rsidRDefault="006D60E6">
      <w:pPr>
        <w:numPr>
          <w:ilvl w:val="0"/>
          <w:numId w:val="1"/>
        </w:numPr>
        <w:ind w:right="45" w:hanging="360"/>
      </w:pPr>
      <w:r>
        <w:t xml:space="preserve">Las demás que expresamente le confieran las leyes. </w:t>
      </w:r>
    </w:p>
    <w:p w14:paraId="268A9AFF" w14:textId="77777777" w:rsidR="007E1A4C" w:rsidRDefault="006D60E6">
      <w:pPr>
        <w:spacing w:after="303"/>
        <w:ind w:left="345" w:right="45" w:firstLine="0"/>
      </w:pPr>
      <w:r>
        <w:t>17.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2E690014" w14:textId="77777777" w:rsidR="007E1A4C" w:rsidRDefault="006D60E6">
      <w:pPr>
        <w:spacing w:after="265" w:line="259" w:lineRule="auto"/>
        <w:ind w:left="-5" w:hanging="10"/>
      </w:pPr>
      <w:r>
        <w:rPr>
          <w:b/>
          <w:color w:val="308446"/>
          <w:sz w:val="27"/>
        </w:rPr>
        <w:t>Componentes:</w:t>
      </w:r>
      <w:r>
        <w:rPr>
          <w:b/>
          <w:sz w:val="27"/>
        </w:rPr>
        <w:t xml:space="preserve"> </w:t>
      </w:r>
    </w:p>
    <w:p w14:paraId="0D34D822" w14:textId="77777777" w:rsidR="007E1A4C" w:rsidRDefault="006D60E6">
      <w:pPr>
        <w:pStyle w:val="Ttulo1"/>
      </w:pPr>
      <w:r>
        <w:lastRenderedPageBreak/>
        <w:t>Corporación Municipal</w:t>
      </w:r>
      <w:r>
        <w:rPr>
          <w:u w:val="none" w:color="000000"/>
        </w:rPr>
        <w:t xml:space="preserve"> </w:t>
      </w:r>
    </w:p>
    <w:p w14:paraId="3F545429" w14:textId="77777777" w:rsidR="007E1A4C" w:rsidRDefault="006D60E6">
      <w:pPr>
        <w:ind w:left="0" w:right="45" w:firstLine="0"/>
      </w:pPr>
      <w:r>
        <w:t xml:space="preserve">El Pleno es el órgano de máxima representación política de los ciudadanos en el gobierno municipal. Está integrado por todos los concejales, y es presidido por el Alcalde. </w:t>
      </w:r>
    </w:p>
    <w:p w14:paraId="212D917F" w14:textId="77777777" w:rsidR="007E1A4C" w:rsidRDefault="006D60E6">
      <w:pPr>
        <w:spacing w:after="280" w:line="238" w:lineRule="auto"/>
        <w:ind w:left="-5" w:right="40" w:hanging="10"/>
        <w:jc w:val="both"/>
      </w:pPr>
      <w:r>
        <w:t xml:space="preserve">Las convocatorias y órdenes del día de las sesiones del Pleno deben hacerse públicas en el tablón de anuncios del Ayuntamiento y enviarse a los medios locales de comunicación social y a las asociaciones y entidades ciudadanas que lo soliciten. </w:t>
      </w:r>
    </w:p>
    <w:p w14:paraId="6C337E7D" w14:textId="77777777" w:rsidR="007E1A4C" w:rsidRDefault="006D60E6">
      <w:pPr>
        <w:spacing w:after="280" w:line="238" w:lineRule="auto"/>
        <w:ind w:left="-5" w:right="40" w:hanging="10"/>
        <w:jc w:val="both"/>
      </w:pPr>
      <w:r>
        <w:t xml:space="preserve">Las sesiones del Pleno son públicas. No obstante, podrán ser secretos el debate y la votación de aquellos asuntos que puedan afectar al derecho constitucional al honor, a la intimidad personal y familiar y a la propia imagen, cuando así se acuerde por mayoría absoluta. </w:t>
      </w:r>
    </w:p>
    <w:p w14:paraId="0E887AF2" w14:textId="77777777" w:rsidR="007E1A4C" w:rsidRDefault="006D60E6">
      <w:pPr>
        <w:spacing w:after="270"/>
        <w:ind w:left="0" w:right="45" w:firstLine="0"/>
      </w:pPr>
      <w:r>
        <w:t xml:space="preserve">El número de concejales de un Ayuntamiento depende del número de habitantes de la ciudad. El Ayuntamiento de Ingenio (31.700 habitantes a 31 de diciembre de 2018) está formado por 21 concejales. </w:t>
      </w:r>
    </w:p>
    <w:p w14:paraId="24E1615E" w14:textId="77777777" w:rsidR="007E1A4C" w:rsidRDefault="006D60E6">
      <w:pPr>
        <w:spacing w:after="230" w:line="238" w:lineRule="auto"/>
        <w:ind w:left="-5" w:right="40" w:hanging="10"/>
        <w:jc w:val="both"/>
      </w:pPr>
      <w:r>
        <w:t xml:space="preserve">Los concejales pertenecientes a una misma formación electoral deberán formar grupos políticos a los efectos de su actuación corporativa. La regulación de la constitución y del régimen de funcionamiento de los grupos políticos se recoge en el Reglamento Orgánico Municipal. </w:t>
      </w:r>
    </w:p>
    <w:p w14:paraId="7561299D" w14:textId="77777777" w:rsidR="007E1A4C" w:rsidRDefault="006D60E6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764A0D5E" wp14:editId="11EFCE9B">
            <wp:extent cx="6646164" cy="4288536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164" cy="428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B865D67" w14:textId="77777777" w:rsidR="007E1A4C" w:rsidRDefault="006D60E6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37D5C2BC" wp14:editId="1E9C8981">
                <wp:extent cx="6646164" cy="6356605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164" cy="6356605"/>
                          <a:chOff x="0" y="0"/>
                          <a:chExt cx="6646164" cy="6356605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164" cy="3116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240025"/>
                            <a:ext cx="6646164" cy="3116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6" style="width:523.32pt;height:500.52pt;mso-position-horizontal-relative:char;mso-position-vertical-relative:line" coordsize="66461,63566">
                <v:shape id="Picture 111" style="position:absolute;width:66461;height:31165;left:0;top:0;" filled="f">
                  <v:imagedata r:id="rId9"/>
                </v:shape>
                <v:shape id="Picture 113" style="position:absolute;width:66461;height:31165;left:0;top:32400;" filled="f">
                  <v:imagedata r:id="rId10"/>
                </v:shape>
              </v:group>
            </w:pict>
          </mc:Fallback>
        </mc:AlternateContent>
      </w:r>
    </w:p>
    <w:p w14:paraId="5CBA0B83" w14:textId="77777777" w:rsidR="007E1A4C" w:rsidRDefault="006D60E6">
      <w:pPr>
        <w:spacing w:after="23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53E038" wp14:editId="0ACDB3B1">
                <wp:extent cx="6646164" cy="8040624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6164" cy="8040624"/>
                          <a:chOff x="0" y="0"/>
                          <a:chExt cx="6646164" cy="8040624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164" cy="3948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2984"/>
                            <a:ext cx="6646164" cy="1927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105144"/>
                            <a:ext cx="6646164" cy="1935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523.32pt;height:633.12pt;mso-position-horizontal-relative:char;mso-position-vertical-relative:line" coordsize="66461,80406">
                <v:shape id="Picture 121" style="position:absolute;width:66461;height:39486;left:0;top:0;" filled="f">
                  <v:imagedata r:id="rId14"/>
                </v:shape>
                <v:shape id="Picture 123" style="position:absolute;width:66461;height:19278;left:0;top:40629;" filled="f">
                  <v:imagedata r:id="rId15"/>
                </v:shape>
                <v:shape id="Picture 125" style="position:absolute;width:66461;height:19354;left:0;top:61051;" filled="f">
                  <v:imagedata r:id="rId16"/>
                </v:shape>
              </v:group>
            </w:pict>
          </mc:Fallback>
        </mc:AlternateContent>
      </w:r>
    </w:p>
    <w:p w14:paraId="68588B49" w14:textId="77777777" w:rsidR="007E1A4C" w:rsidRDefault="006D60E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E1A4C">
      <w:pgSz w:w="11900" w:h="16840"/>
      <w:pgMar w:top="720" w:right="661" w:bottom="178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A6462"/>
    <w:multiLevelType w:val="hybridMultilevel"/>
    <w:tmpl w:val="7E42120C"/>
    <w:lvl w:ilvl="0" w:tplc="CAE0A5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69E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EA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440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66B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8DB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849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207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58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556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4C"/>
    <w:rsid w:val="006D60E6"/>
    <w:rsid w:val="00747A4C"/>
    <w:rsid w:val="007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C87E"/>
  <w15:docId w15:val="{40EAB447-333C-4C39-9210-8CB6B52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color w:val="2E73B5"/>
      <w:sz w:val="28"/>
      <w:u w:val="single" w:color="2E73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2E73B5"/>
      <w:sz w:val="28"/>
      <w:u w:val="single" w:color="2E73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5" Type="http://schemas.openxmlformats.org/officeDocument/2006/relationships/image" Target="media/image50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1021 El Pleno (Funciones y Composición) 2019-2023</dc:title>
  <dc:subject/>
  <dc:creator>Admin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