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7D16" w14:textId="77777777" w:rsidR="00B525AE" w:rsidRDefault="00E73C67">
      <w:pPr>
        <w:spacing w:after="2" w:line="259" w:lineRule="auto"/>
        <w:ind w:left="3"/>
        <w:jc w:val="center"/>
      </w:pPr>
      <w:r>
        <w:rPr>
          <w:b/>
          <w:sz w:val="28"/>
        </w:rPr>
        <w:t>Ayuntamiento de La Villa de Ingenio</w:t>
      </w:r>
    </w:p>
    <w:p w14:paraId="62D07B93" w14:textId="77777777" w:rsidR="00B525AE" w:rsidRDefault="00E73C67">
      <w:pPr>
        <w:spacing w:after="0" w:line="259" w:lineRule="auto"/>
        <w:ind w:left="-5" w:hanging="10"/>
        <w:jc w:val="left"/>
      </w:pPr>
      <w:r>
        <w:rPr>
          <w:b/>
          <w:sz w:val="16"/>
        </w:rPr>
        <w:t>Servicio de Contratación</w:t>
      </w:r>
    </w:p>
    <w:p w14:paraId="73219449" w14:textId="77777777" w:rsidR="00B525AE" w:rsidRDefault="00E73C67">
      <w:pPr>
        <w:spacing w:after="0" w:line="259" w:lineRule="auto"/>
        <w:ind w:left="-5" w:hanging="10"/>
        <w:jc w:val="left"/>
      </w:pPr>
      <w:r>
        <w:rPr>
          <w:b/>
          <w:sz w:val="16"/>
        </w:rPr>
        <w:t xml:space="preserve">Expediente n.º: </w:t>
      </w:r>
      <w:r>
        <w:rPr>
          <w:sz w:val="16"/>
        </w:rPr>
        <w:t>4056/2022</w:t>
      </w:r>
    </w:p>
    <w:p w14:paraId="6A42A536" w14:textId="77777777" w:rsidR="00B525AE" w:rsidRDefault="00E73C67">
      <w:pPr>
        <w:spacing w:after="949" w:line="259" w:lineRule="auto"/>
        <w:jc w:val="left"/>
      </w:pPr>
      <w:r>
        <w:rPr>
          <w:b/>
          <w:sz w:val="16"/>
        </w:rPr>
        <w:t xml:space="preserve">Asunto: </w:t>
      </w:r>
      <w:r>
        <w:rPr>
          <w:sz w:val="16"/>
        </w:rPr>
        <w:t>Transparencia Ejercicio 2021</w:t>
      </w:r>
    </w:p>
    <w:p w14:paraId="19C8E9A7" w14:textId="77777777" w:rsidR="00B525AE" w:rsidRDefault="00E73C67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2235A" wp14:editId="7DE306A3">
                <wp:simplePos x="0" y="0"/>
                <wp:positionH relativeFrom="column">
                  <wp:posOffset>-647699</wp:posOffset>
                </wp:positionH>
                <wp:positionV relativeFrom="paragraph">
                  <wp:posOffset>-1922646</wp:posOffset>
                </wp:positionV>
                <wp:extent cx="6406515" cy="3966578"/>
                <wp:effectExtent l="0" t="0" r="0" b="0"/>
                <wp:wrapNone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515" cy="3966578"/>
                          <a:chOff x="0" y="0"/>
                          <a:chExt cx="6406515" cy="39665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5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5" style="width:504.45pt;height:312.329pt;position:absolute;z-index:-2147483618;mso-position-horizontal-relative:text;mso-position-horizontal:absolute;margin-left:-51pt;mso-position-vertical-relative:text;margin-top:-151.39pt;" coordsize="64065,39665">
                <v:shape id="Picture 7" style="position:absolute;width:9334;height:6953;left:6457;top:0;" filled="f">
                  <v:imagedata r:id="rId5"/>
                </v:shape>
                <v:shape id="Shape 36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38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4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>Al objeto de dar cumplimiento a los Indicadores de la Ley Canaria de Transparencia (Ley 12/2014, de 26 de diciembre) en su apartado 7. Servicios y procedimientos/7.1 Servicios, el Ayuntamiento de Ingenio, pone en conocimiento de la ciudadanía de Ingenio y del público en general que en relación a la información “1080 - Cartas de servicios elaboradas y, en su caso, compromisos asumidos y grado de cumplimiento de los mismos”, a fecha de emisión del presente documento el Ayuntamiento de Ingenio no dispone de ca</w:t>
      </w:r>
      <w:r>
        <w:t>rtas de servicio elaboradas suponiéndose por tanto la no existencia de tal actividad, pudiendo utilizar la ciudadanía los medios legalmente establecidos para ejercer su derecho de acceso a la información pública.</w:t>
      </w:r>
    </w:p>
    <w:p w14:paraId="4BB867C3" w14:textId="77777777" w:rsidR="00B525AE" w:rsidRDefault="00E73C67">
      <w:pPr>
        <w:pStyle w:val="Ttulo1"/>
      </w:pPr>
      <w:r>
        <w:t>VILLA DE INGENIO, A FECHA DE FIRMA ELECTRÓNICA</w:t>
      </w:r>
    </w:p>
    <w:p w14:paraId="7C71713D" w14:textId="77777777" w:rsidR="00B525AE" w:rsidRDefault="00E73C67">
      <w:pPr>
        <w:spacing w:after="0" w:line="259" w:lineRule="auto"/>
        <w:ind w:left="-2" w:right="-1151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829E58" wp14:editId="730144A5">
                <wp:extent cx="6485528" cy="3958561"/>
                <wp:effectExtent l="0" t="0" r="0" b="0"/>
                <wp:docPr id="446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58561"/>
                          <a:chOff x="0" y="0"/>
                          <a:chExt cx="6485528" cy="3958561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710690" y="3706584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3E888" w14:textId="77777777" w:rsidR="00B525AE" w:rsidRDefault="00E73C6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2280" y="3840292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51EEF" w14:textId="77777777" w:rsidR="00B525AE" w:rsidRDefault="00E73C6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 rot="-5399999">
                            <a:off x="4088160" y="1587739"/>
                            <a:ext cx="458529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B793B" w14:textId="77777777" w:rsidR="00B525AE" w:rsidRDefault="00E73C6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543WAYRGPRFQ4KP4JLA3C9AWG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4325F" w14:textId="77777777" w:rsidR="00B525AE" w:rsidRDefault="00E73C6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" style="width:510.671pt;height:311.698pt;mso-position-horizontal-relative:char;mso-position-vertical-relative:line" coordsize="64855,39585">
                <v:rect id="Rectangle 34" style="position:absolute;width:31106;height:1769;left:17106;top:37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5" style="position:absolute;width:64287;height:1572;left:4622;top:38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37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39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41" style="position:absolute;width:39370;height:3556;left:41706;top:17906;rotation:-89;" filled="f">
                  <v:imagedata r:id="rId7"/>
                </v:shape>
                <v:rect id="Rectangle 42" style="position:absolute;width:45852;height:1132;left:40881;top:158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543WAYRGPRFQ4KP4JLA3C9AWG | Verificación: https://ingenio.sedelectronica.es/ </w:t>
                        </w:r>
                      </w:p>
                    </w:txbxContent>
                  </v:textbox>
                </v:rect>
                <v:rect id="Rectangle 43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525AE">
      <w:pgSz w:w="11906" w:h="16838"/>
      <w:pgMar w:top="1440" w:right="1425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AE"/>
    <w:rsid w:val="00AA5E36"/>
    <w:rsid w:val="00B525AE"/>
    <w:rsid w:val="00E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4D40"/>
  <w15:docId w15:val="{CFC5A7F4-DD3D-4F2E-8EF9-7D6D792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74" w:line="240" w:lineRule="auto"/>
      <w:jc w:val="both"/>
    </w:pPr>
    <w:rPr>
      <w:rFonts w:ascii="DejaVu Sans" w:eastAsia="DejaVu Sans" w:hAnsi="DejaVu Sans" w:cs="DejaVu Sans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607"/>
      <w:ind w:left="5"/>
      <w:jc w:val="center"/>
      <w:outlineLvl w:val="0"/>
    </w:pPr>
    <w:rPr>
      <w:rFonts w:ascii="DejaVu Sans" w:eastAsia="DejaVu Sans" w:hAnsi="DejaVu Sans" w:cs="DejaVu Sans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